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6  ·  ISO 27001 IN THE INDONESIAN REGULATORY CONTEXT</w:t>
      </w:r>
    </w:p>
    <w:p>
      <w:pPr>
        <w:spacing w:after="80"/>
      </w:pPr>
      <w:r>
        <w:rPr>
          <w:rFonts w:ascii="Arial" w:cs="Arial" w:eastAsia="Arial" w:hAnsi="Arial"/>
          <w:b/>
          <w:bCs/>
          <w:caps/>
          <w:color w:val="4B5563"/>
          <w:sz w:val="18"/>
          <w:szCs w:val="18"/>
        </w:rPr>
        <w:t xml:space="preserve">ARTICLE 6.6  ·  BUILDING A COMPLIANCE-READY ISMS FOR INDONESIAN ORGANIZATIONS</w:t>
      </w:r>
    </w:p>
    <w:p>
      <w:pPr>
        <w:pStyle w:val="Heading1"/>
        <w:spacing w:after="120"/>
      </w:pPr>
      <w:r>
        <w:rPr>
          <w:rFonts w:ascii="Arial" w:cs="Arial" w:eastAsia="Arial" w:hAnsi="Arial"/>
          <w:b/>
          <w:bCs/>
          <w:color w:val="1B3A5C"/>
          <w:sz w:val="44"/>
          <w:szCs w:val="44"/>
        </w:rPr>
        <w:t xml:space="preserve">Building a Compliance-Ready ISMS for Indonesian Organizations</w:t>
      </w:r>
    </w:p>
    <w:p>
      <w:pPr>
        <w:spacing w:after="60"/>
      </w:pPr>
      <w:r>
        <w:rPr>
          <w:rFonts w:ascii="Georgia" w:cs="Georgia" w:eastAsia="Georgia" w:hAnsi="Georgia"/>
          <w:i/>
          <w:iCs/>
          <w:color w:val="4B5563"/>
          <w:sz w:val="24"/>
          <w:szCs w:val="24"/>
        </w:rPr>
        <w:t xml:space="preserve">A synthesis of the regulatory context from Articles 6.1–6.5 into a unified ISMS architecture that satisfies multiple Indonesian regulations through a single management system — covering the multi-regulation landscape at a glance, the six-layer unified ISMS architecture, Indonesian localization considerations, the integrated 12-month implementation roadmap, and the compliance efficiency scorecard showing which ISMS artifacts serve multiple regulatory frameworks simultaneously.</w:t>
      </w:r>
    </w:p>
    <w:p>
      <w:pPr>
        <w:spacing w:after="40"/>
      </w:pPr>
      <w:r>
        <w:rPr>
          <w:rFonts w:ascii="Arial" w:cs="Arial" w:eastAsia="Arial" w:hAnsi="Arial"/>
          <w:color w:val="9CA3AF"/>
          <w:sz w:val="18"/>
          <w:szCs w:val="18"/>
        </w:rPr>
        <w:t xml:space="preserve">Bitlion GRC Documentation  ·  Updated March 2026  ·  Reading time: ~18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The Indonesian regulatory landscape for information security is uniquely dense. A single organization — a bank with a digital wallet and a payment gateway — simultaneously faces UU PDP enforcement, POJK 11 IT governance examinations, PBI 23 payment security supervision, and potentially BSSN critical infrastructure requirements. Each regulation has its own audit cycle, its own notification timelines, and its own evidence expectations. Organizations that respond to this complexity by building separate compliance programs for each regulator — a UU PDP program, a POJK program, a BI compliance program — create enormous overhead, duplicated documentation, and a compliance function that is perpetually overwhelmed.</w:t>
      </w:r>
    </w:p>
    <w:p>
      <w:pPr>
        <w:spacing w:after="80"/>
      </w:pPr>
      <w:r>
        <w:t xml:space="preserve"/>
      </w:r>
    </w:p>
    <w:p>
      <w:pPr>
        <w:spacing w:after="160" w:line="320"/>
        <w:jc w:val="both"/>
      </w:pPr>
      <w:r>
        <w:rPr>
          <w:rFonts w:ascii="Georgia" w:cs="Georgia" w:eastAsia="Georgia" w:hAnsi="Georgia"/>
          <w:color w:val="111827"/>
          <w:sz w:val="22"/>
          <w:szCs w:val="22"/>
        </w:rPr>
        <w:t xml:space="preserve">The strategic alternative is to build one ISMS that is explicitly designed to satisfy all applicable Indonesian regulations simultaneously. This is not a theoretical aspiration — it is the practical outcome when ISO 27001 is implemented with Indonesian regulatory context integrated from the beginning, rather than retrofitted as an afterthought. The key insight is that Indonesian regulations are highly convergent on substance: they all require risk management, access controls, incident response, security awareness, supplier management, and governance documentation. The differences are in structural specifics (IT governance committee for POJK, data localization for PBI) and notification timelines (2 hours for BI, 3×24 hours for OJK, 14 days for KOMINFO). Building one management system that addresses the convergent substance and explicitly handles the divergent specifics is 30–40% more efficient than running separate programs.</w:t>
      </w:r>
    </w:p>
    <w:p>
      <w:pPr>
        <w:spacing w:after="80"/>
      </w:pPr>
      <w:r>
        <w:t xml:space="preserve"/>
      </w:r>
    </w:p>
    <w:p>
      <w:pPr>
        <w:spacing w:after="160" w:line="320"/>
        <w:jc w:val="both"/>
      </w:pPr>
      <w:r>
        <w:rPr>
          <w:rFonts w:ascii="Georgia" w:cs="Georgia" w:eastAsia="Georgia" w:hAnsi="Georgia"/>
          <w:color w:val="111827"/>
          <w:sz w:val="22"/>
          <w:szCs w:val="22"/>
        </w:rPr>
        <w:t xml:space="preserve">This article synthesizes the regulatory context from Articles 6.1–6.5 into a unified implementation architecture — the six ISMS layers that simultaneously satisfy multiple frameworks, the five Indonesian localization considerations that distinguish a genuine Indonesian ISMS from an international template applied domestically, the integrated 12-month roadmap, and the compliance efficiency scorecard demonstrating that six core ISMS artifacts can collectively serve four regulatory frameworks simultaneously.</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Indonesian Regulatory Landscape at a Glance</w:t>
      </w:r>
    </w:p>
    <w:p>
      <w:pPr>
        <w:spacing w:after="80"/>
      </w:pPr>
      <w:r>
        <w:t xml:space="preserve"/>
      </w:r>
    </w:p>
    <w:p>
      <w:pPr>
        <w:spacing w:after="160" w:line="320"/>
        <w:jc w:val="both"/>
      </w:pPr>
      <w:r>
        <w:rPr>
          <w:rFonts w:ascii="Georgia" w:cs="Georgia" w:eastAsia="Georgia" w:hAnsi="Georgia"/>
          <w:color w:val="111827"/>
          <w:sz w:val="22"/>
          <w:szCs w:val="22"/>
        </w:rPr>
        <w:t xml:space="preserve">Before designing the unified ISMS, identify which regulations apply to the specific organization. The table below provides an orientation to the five primary Indonesian information security regulations, their applicability, core obligations, and how ISO 27001 covers them:</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200"/>
        <w:gridCol w:w="2400"/>
        <w:gridCol w:w="2360"/>
        <w:gridCol w:w="2200"/>
      </w:tblGrid>
      <w:tr>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Regulation</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Applies to</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Core IS obligations</w:t>
            </w:r>
          </w:p>
        </w:tc>
        <w:tc>
          <w:tcPr>
            <w:tcW w:type="dxa" w:w="23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ISO 27001 coverage and gaps</w:t>
            </w:r>
          </w:p>
        </w:tc>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Key ISMS artifacts</w:t>
            </w:r>
          </w:p>
        </w:tc>
      </w:tr>
      <w:tr>
        <w:tc>
          <w:tcPr>
            <w:tcW w:type="auto" w:w="1200"/>
            <w:tcBorders>
              <w:top w:val="single" w:color="DBEAFE" w:sz="1"/>
              <w:left w:val="single" w:color="DBEAFE" w:sz="1"/>
              <w:bottom w:val="single" w:color="DBEAFE" w:sz="1"/>
              <w:right w:val="single" w:color="DBEAFE" w:sz="1"/>
            </w:tcBorders>
            <w:shd w:fill="1B3A5C" w:val="clear"/>
            <w:tcMar>
              <w:top w:type="dxa" w:w="100"/>
              <w:left w:type="dxa" w:w="100"/>
              <w:bottom w:type="dxa" w:w="100"/>
              <w:right w:type="dxa" w:w="100"/>
            </w:tcMar>
          </w:tcPr>
          <w:p>
            <w:r>
              <w:rPr>
                <w:rFonts w:ascii="Arial" w:cs="Arial" w:eastAsia="Arial" w:hAnsi="Arial"/>
                <w:b/>
                <w:bCs/>
                <w:color w:val="FFFFFF"/>
                <w:sz w:val="16"/>
                <w:szCs w:val="16"/>
              </w:rPr>
              <w:t xml:space="preserve">UU PDP
(UU No. 27/2022)</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r>
              <w:rPr>
                <w:rFonts w:ascii="Georgia" w:cs="Georgia" w:eastAsia="Georgia" w:hAnsi="Georgia"/>
                <w:color w:val="111827"/>
                <w:sz w:val="15"/>
                <w:szCs w:val="15"/>
              </w:rPr>
              <w:t xml:space="preserve">All organizations processing personal data of Indonesian data subjects</w:t>
            </w:r>
          </w:p>
        </w:tc>
        <w:tc>
          <w:tcPr>
            <w:tcW w:type="auto" w:w="240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5"/>
                <w:szCs w:val="15"/>
              </w:rPr>
              <w:t xml:space="preserve">Technical and organizational measures (Art. 35), data subject rights (Art. 7–21), breach notification 14 days to KOMINFO (Art. 46), DPAs with processors (Art. 53), cross-border transfer controls (Art. 57–63)</w:t>
            </w:r>
          </w:p>
        </w:tc>
        <w:tc>
          <w:tcPr>
            <w:tcW w:type="auto" w:w="236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4"/>
                <w:szCs w:val="14"/>
              </w:rPr>
              <w:t xml:space="preserve">High — ISO 27001 ISMS addresses Art. 35 technical measures directly. Gaps: RoPA, data subject rights procedures, PIA methodology, DPO appointment, cross-border transfer mechanism.</w:t>
            </w:r>
          </w:p>
        </w:tc>
        <w:tc>
          <w:tcPr>
            <w:tcW w:type="auto" w:w="22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4"/>
                <w:szCs w:val="14"/>
              </w:rPr>
              <w:t xml:space="preserve">IS Policy with UU PDP references, risk register with privacy risks, SoA with Art. 35 mapping, incident response with 14-day notification, supplier agreements with DPA provisions</w:t>
            </w:r>
          </w:p>
        </w:tc>
      </w:tr>
      <w:tr>
        <w:tc>
          <w:tcPr>
            <w:tcW w:type="auto" w:w="1200"/>
            <w:tcBorders>
              <w:top w:val="single" w:color="DBEAFE" w:sz="1"/>
              <w:left w:val="single" w:color="DBEAFE" w:sz="1"/>
              <w:bottom w:val="single" w:color="DBEAFE" w:sz="1"/>
              <w:right w:val="single" w:color="DBEAFE" w:sz="1"/>
            </w:tcBorders>
            <w:shd w:fill="2563A8" w:val="clear"/>
            <w:tcMar>
              <w:top w:type="dxa" w:w="100"/>
              <w:left w:type="dxa" w:w="100"/>
              <w:bottom w:type="dxa" w:w="100"/>
              <w:right w:type="dxa" w:w="100"/>
            </w:tcMar>
          </w:tcPr>
          <w:p>
            <w:r>
              <w:rPr>
                <w:rFonts w:ascii="Arial" w:cs="Arial" w:eastAsia="Arial" w:hAnsi="Arial"/>
                <w:b/>
                <w:bCs/>
                <w:color w:val="FFFFFF"/>
                <w:sz w:val="16"/>
                <w:szCs w:val="16"/>
              </w:rPr>
              <w:t xml:space="preserve">POJK 11/2022</w:t>
            </w:r>
          </w:p>
        </w:tc>
        <w:tc>
          <w:tcPr>
            <w:tcW w:type="auto" w:w="1200"/>
            <w:tcBorders>
              <w:top w:val="single" w:color="DBEAFE" w:sz="1"/>
              <w:left w:val="single" w:color="DBEAFE" w:sz="1"/>
              <w:bottom w:val="single" w:color="DBEAFE" w:sz="1"/>
              <w:right w:val="single" w:color="DBEAFE" w:sz="1"/>
            </w:tcBorders>
            <w:shd w:fill="FFFFFF" w:val="clear"/>
            <w:tcMar>
              <w:top w:type="dxa" w:w="100"/>
              <w:left w:type="dxa" w:w="90"/>
              <w:bottom w:type="dxa" w:w="100"/>
              <w:right w:type="dxa" w:w="90"/>
            </w:tcMar>
          </w:tcPr>
          <w:p>
            <w:r>
              <w:rPr>
                <w:rFonts w:ascii="Georgia" w:cs="Georgia" w:eastAsia="Georgia" w:hAnsi="Georgia"/>
                <w:color w:val="111827"/>
                <w:sz w:val="15"/>
                <w:szCs w:val="15"/>
              </w:rPr>
              <w:t xml:space="preserve">Commercial banks and bank-affiliated entities</w:t>
            </w:r>
          </w:p>
        </w:tc>
        <w:tc>
          <w:tcPr>
            <w:tcW w:type="auto" w:w="240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5"/>
                <w:szCs w:val="15"/>
              </w:rPr>
              <w:t xml:space="preserve">IT governance committee, IT risk framework, information security controls, BCM, IT audit, third-party IT management, OJK notification 3×24hr</w:t>
            </w:r>
          </w:p>
        </w:tc>
        <w:tc>
          <w:tcPr>
            <w:tcW w:type="auto" w:w="2360"/>
            <w:tcBorders>
              <w:top w:val="single" w:color="DBEAFE" w:sz="1"/>
              <w:left w:val="single" w:color="DBEAFE" w:sz="1"/>
              <w:bottom w:val="single" w:color="DBEAFE" w:sz="1"/>
              <w:right w:val="single" w:color="DBEAFE" w:sz="1"/>
            </w:tcBorders>
            <w:shd w:fill="FFFDF5" w:val="clear"/>
            <w:tcMar>
              <w:top w:type="dxa" w:w="100"/>
              <w:left w:type="dxa" w:w="100"/>
              <w:bottom w:type="dxa" w:w="100"/>
              <w:right w:type="dxa" w:w="100"/>
            </w:tcMar>
          </w:tcPr>
          <w:p>
            <w:r>
              <w:rPr>
                <w:rFonts w:ascii="Georgia" w:cs="Georgia" w:eastAsia="Georgia" w:hAnsi="Georgia"/>
                <w:color w:val="B45309"/>
                <w:sz w:val="14"/>
                <w:szCs w:val="14"/>
              </w:rPr>
              <w:t xml:space="preserve">High — ISO 27001 governance, risk, and control framework maps directly. Gaps: IT governance committee structure, OJK pre-notification for significant outsourcing, board-level IT reporting cadence, prescribed penetration testing frequency.</w:t>
            </w:r>
          </w:p>
        </w:tc>
        <w:tc>
          <w:tcPr>
            <w:tcW w:type="auto" w:w="22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4"/>
                <w:szCs w:val="14"/>
              </w:rPr>
              <w:t xml:space="preserve">IT governance policy, IT committee TOR, ISMS with board-adapted risk reporting, enhanced incident procedure with OJK notification</w:t>
            </w:r>
          </w:p>
        </w:tc>
      </w:tr>
      <w:tr>
        <w:tc>
          <w:tcPr>
            <w:tcW w:type="auto" w:w="1200"/>
            <w:tcBorders>
              <w:top w:val="single" w:color="DBEAFE" w:sz="1"/>
              <w:left w:val="single" w:color="DBEAFE" w:sz="1"/>
              <w:bottom w:val="single" w:color="DBEAFE" w:sz="1"/>
              <w:right w:val="single" w:color="DBEAFE" w:sz="1"/>
            </w:tcBorders>
            <w:shd w:fill="0F766E" w:val="clear"/>
            <w:tcMar>
              <w:top w:type="dxa" w:w="100"/>
              <w:left w:type="dxa" w:w="100"/>
              <w:bottom w:type="dxa" w:w="100"/>
              <w:right w:type="dxa" w:w="100"/>
            </w:tcMar>
          </w:tcPr>
          <w:p>
            <w:r>
              <w:rPr>
                <w:rFonts w:ascii="Arial" w:cs="Arial" w:eastAsia="Arial" w:hAnsi="Arial"/>
                <w:b/>
                <w:bCs/>
                <w:color w:val="FFFFFF"/>
                <w:sz w:val="16"/>
                <w:szCs w:val="16"/>
              </w:rPr>
              <w:t xml:space="preserve">PBI 23/2021</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r>
              <w:rPr>
                <w:rFonts w:ascii="Georgia" w:cs="Georgia" w:eastAsia="Georgia" w:hAnsi="Georgia"/>
                <w:color w:val="111827"/>
                <w:sz w:val="15"/>
                <w:szCs w:val="15"/>
              </w:rPr>
              <w:t xml:space="preserve">Payment service providers (e-money, gateways, fintech with payment services)</w:t>
            </w:r>
          </w:p>
        </w:tc>
        <w:tc>
          <w:tcPr>
            <w:tcW w:type="auto" w:w="240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5"/>
                <w:szCs w:val="15"/>
              </w:rPr>
              <w:t xml:space="preserve">Payment security controls (MFA, TLS 1.2+, AES-256), availability SLA 99.5%, fraud monitoring, BI notification 2hrs, Indonesian payment data localization, third-party BI pre-approval</w:t>
            </w:r>
          </w:p>
        </w:tc>
        <w:tc>
          <w:tcPr>
            <w:tcW w:type="auto" w:w="236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4"/>
                <w:szCs w:val="14"/>
              </w:rPr>
              <w:t xml:space="preserve">High for IS controls. Critical gaps: data localization requirement (no ISO 27001 equivalent), 2-hour BI notification window, minimum cryptographic algorithm specification.</w:t>
            </w:r>
          </w:p>
        </w:tc>
        <w:tc>
          <w:tcPr>
            <w:tcW w:type="auto" w:w="22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4"/>
                <w:szCs w:val="14"/>
              </w:rPr>
              <w:t xml:space="preserve">Payment-specific scope statement, payment security procedure, data localization architecture documentation, incident procedure with 2-hour BI notification</w:t>
            </w:r>
          </w:p>
        </w:tc>
      </w:tr>
      <w:tr>
        <w:tc>
          <w:tcPr>
            <w:tcW w:type="auto" w:w="1200"/>
            <w:tcBorders>
              <w:top w:val="single" w:color="DBEAFE" w:sz="1"/>
              <w:left w:val="single" w:color="DBEAFE" w:sz="1"/>
              <w:bottom w:val="single" w:color="DBEAFE" w:sz="1"/>
              <w:right w:val="single" w:color="DBEAFE" w:sz="1"/>
            </w:tcBorders>
            <w:shd w:fill="3730A3" w:val="clear"/>
            <w:tcMar>
              <w:top w:type="dxa" w:w="100"/>
              <w:left w:type="dxa" w:w="100"/>
              <w:bottom w:type="dxa" w:w="100"/>
              <w:right w:type="dxa" w:w="100"/>
            </w:tcMar>
          </w:tcPr>
          <w:p>
            <w:r>
              <w:rPr>
                <w:rFonts w:ascii="Arial" w:cs="Arial" w:eastAsia="Arial" w:hAnsi="Arial"/>
                <w:b/>
                <w:bCs/>
                <w:color w:val="FFFFFF"/>
                <w:sz w:val="16"/>
                <w:szCs w:val="16"/>
              </w:rPr>
              <w:t xml:space="preserve">BSSN PP 82/2022</w:t>
            </w:r>
          </w:p>
        </w:tc>
        <w:tc>
          <w:tcPr>
            <w:tcW w:type="auto" w:w="1200"/>
            <w:tcBorders>
              <w:top w:val="single" w:color="DBEAFE" w:sz="1"/>
              <w:left w:val="single" w:color="DBEAFE" w:sz="1"/>
              <w:bottom w:val="single" w:color="DBEAFE" w:sz="1"/>
              <w:right w:val="single" w:color="DBEAFE" w:sz="1"/>
            </w:tcBorders>
            <w:shd w:fill="FFFFFF" w:val="clear"/>
            <w:tcMar>
              <w:top w:type="dxa" w:w="100"/>
              <w:left w:type="dxa" w:w="90"/>
              <w:bottom w:type="dxa" w:w="100"/>
              <w:right w:type="dxa" w:w="90"/>
            </w:tcMar>
          </w:tcPr>
          <w:p>
            <w:r>
              <w:rPr>
                <w:rFonts w:ascii="Georgia" w:cs="Georgia" w:eastAsia="Georgia" w:hAnsi="Georgia"/>
                <w:color w:val="111827"/>
                <w:sz w:val="15"/>
                <w:szCs w:val="15"/>
              </w:rPr>
              <w:t xml:space="preserve">Operators of designated critical infrastructure (11 sectors)</w:t>
            </w:r>
          </w:p>
        </w:tc>
        <w:tc>
          <w:tcPr>
            <w:tcW w:type="auto" w:w="240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5"/>
                <w:szCs w:val="15"/>
              </w:rPr>
              <w:t xml:space="preserve">BSSN cybersecurity assessment, incident reporting 1×24hr, periodic cybersecurity review, SNSIK framework implementation</w:t>
            </w:r>
          </w:p>
        </w:tc>
        <w:tc>
          <w:tcPr>
            <w:tcW w:type="auto" w:w="2360"/>
            <w:tcBorders>
              <w:top w:val="single" w:color="DBEAFE" w:sz="1"/>
              <w:left w:val="single" w:color="DBEAFE" w:sz="1"/>
              <w:bottom w:val="single" w:color="DBEAFE" w:sz="1"/>
              <w:right w:val="single" w:color="DBEAFE" w:sz="1"/>
            </w:tcBorders>
            <w:shd w:fill="FFFDF5" w:val="clear"/>
            <w:tcMar>
              <w:top w:type="dxa" w:w="100"/>
              <w:left w:type="dxa" w:w="100"/>
              <w:bottom w:type="dxa" w:w="100"/>
              <w:right w:type="dxa" w:w="100"/>
            </w:tcMar>
          </w:tcPr>
          <w:p>
            <w:r>
              <w:rPr>
                <w:rFonts w:ascii="Georgia" w:cs="Georgia" w:eastAsia="Georgia" w:hAnsi="Georgia"/>
                <w:color w:val="B45309"/>
                <w:sz w:val="14"/>
                <w:szCs w:val="14"/>
              </w:rPr>
              <w:t xml:space="preserve">High — BSSN SNSIK framework built on ISO 27001 and NIST CSF. ISO 27001 certification recognized in BSSN assessments. Gap: BSSN 24-hour incident notification faster than any ISO 27001 stakeholder notification guidance.</w:t>
            </w:r>
          </w:p>
        </w:tc>
        <w:tc>
          <w:tcPr>
            <w:tcW w:type="auto" w:w="22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4"/>
                <w:szCs w:val="14"/>
              </w:rPr>
              <w:t xml:space="preserve">IS Policy with BSSN framework mapping, incident procedure with 24-hour BSSN notification, BSSN assessment evidence portfolio</w:t>
            </w:r>
          </w:p>
        </w:tc>
      </w:tr>
      <w:tr>
        <w:tc>
          <w:tcPr>
            <w:tcW w:type="auto" w:w="1200"/>
            <w:tcBorders>
              <w:top w:val="single" w:color="DBEAFE" w:sz="1"/>
              <w:left w:val="single" w:color="DBEAFE" w:sz="1"/>
              <w:bottom w:val="single" w:color="DBEAFE" w:sz="1"/>
              <w:right w:val="single" w:color="DBEAFE" w:sz="1"/>
            </w:tcBorders>
            <w:shd w:fill="6D28D9" w:val="clear"/>
            <w:tcMar>
              <w:top w:type="dxa" w:w="100"/>
              <w:left w:type="dxa" w:w="100"/>
              <w:bottom w:type="dxa" w:w="100"/>
              <w:right w:type="dxa" w:w="100"/>
            </w:tcMar>
          </w:tcPr>
          <w:p>
            <w:r>
              <w:rPr>
                <w:rFonts w:ascii="Arial" w:cs="Arial" w:eastAsia="Arial" w:hAnsi="Arial"/>
                <w:b/>
                <w:bCs/>
                <w:color w:val="FFFFFF"/>
                <w:sz w:val="16"/>
                <w:szCs w:val="16"/>
              </w:rPr>
              <w:t xml:space="preserve">POJK 21/2023
(IT Risk Guidelines)</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r>
              <w:rPr>
                <w:rFonts w:ascii="Georgia" w:cs="Georgia" w:eastAsia="Georgia" w:hAnsi="Georgia"/>
                <w:color w:val="111827"/>
                <w:sz w:val="15"/>
                <w:szCs w:val="15"/>
              </w:rPr>
              <w:t xml:space="preserve">All OJK-supervised entities</w:t>
            </w:r>
          </w:p>
        </w:tc>
        <w:tc>
          <w:tcPr>
            <w:tcW w:type="auto" w:w="240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5"/>
                <w:szCs w:val="15"/>
              </w:rPr>
              <w:t xml:space="preserve">IT risk management framework, risk appetite, board risk reporting, risk identification across operational/legal/strategic/reputational categories</w:t>
            </w:r>
          </w:p>
        </w:tc>
        <w:tc>
          <w:tcPr>
            <w:tcW w:type="auto" w:w="236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4"/>
                <w:szCs w:val="14"/>
              </w:rPr>
              <w:t xml:space="preserve">Moderate-high — ISO 27001 risk management maps well. Gap: POJK 21 requires quantitative risk metrics for IT operations and board-level reporting cadence more formal than ISO 27001 management review.</w:t>
            </w:r>
          </w:p>
        </w:tc>
        <w:tc>
          <w:tcPr>
            <w:tcW w:type="auto" w:w="22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4"/>
                <w:szCs w:val="14"/>
              </w:rPr>
              <w:t xml:space="preserve">ISMS risk register with POJK risk category tagging, board IT risk dashboard derived from management review data</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COMPLIANCE CONVERGENCE PRINCIPLE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Despite their different structures, regulatory purposes, and issuing authorities, the five Indonesian IS regulations in the table above converge on a common set of substantive requirements: (1) governance — board and management accountability for security, (2) risk management — systematic identification and treatment of IS risks, (3) access control — who can access what, with MFA for sensitive access, (4) monitoring and incident response — detect, respond, and report, (5) supplier security — extend security requirements to third parties. An organization that builds these five substantive areas into a genuine ISO 27001 ISMS satisfies the majority of all five regulations simultaneously. The regulatory differences are in the specifics — not the fundamentals.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Six-Layer Unified ISMS Architecture</w:t>
      </w:r>
    </w:p>
    <w:p>
      <w:pPr>
        <w:spacing w:after="80"/>
      </w:pPr>
      <w:r>
        <w:t xml:space="preserve"/>
      </w:r>
    </w:p>
    <w:p>
      <w:pPr>
        <w:spacing w:after="160" w:line="320"/>
        <w:jc w:val="both"/>
      </w:pPr>
      <w:r>
        <w:rPr>
          <w:rFonts w:ascii="Georgia" w:cs="Georgia" w:eastAsia="Georgia" w:hAnsi="Georgia"/>
          <w:color w:val="111827"/>
          <w:sz w:val="22"/>
          <w:szCs w:val="22"/>
        </w:rPr>
        <w:t xml:space="preserve">A compliance-ready Indonesian ISMS is built in six layers — each designed to simultaneously serve multiple regulatory frameworks. The layers build on each other: the foundation layer enables the risk layer, which enables the control layer, which generates the evidence layer. The notification and audit layers run operationally across all the others: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480"/>
        <w:gridCol w:w="2880"/>
        <w:gridCol w:w="10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Architecture layer</w:t>
            </w:r>
          </w:p>
        </w:tc>
        <w:tc>
          <w:tcPr>
            <w:tcW w:type="dxa" w:w="34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What it is and how to build it</w:t>
            </w:r>
          </w:p>
        </w:tc>
        <w:tc>
          <w:tcPr>
            <w:tcW w:type="dxa" w:w="28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Implementation approach</w:t>
            </w:r>
          </w:p>
        </w:tc>
        <w:tc>
          <w:tcPr>
            <w:tcW w:type="dxa" w:w="1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Multi-reg result</w:t>
            </w:r>
          </w:p>
        </w:tc>
      </w:tr>
      <w:tr>
        <w:tc>
          <w:tcPr>
            <w:tcW w:type="auto" w:w="200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7"/>
                <w:szCs w:val="17"/>
              </w:rPr>
              <w:t xml:space="preserve">Foundation layer — single IS Policy</w:t>
            </w:r>
          </w:p>
        </w:tc>
        <w:tc>
          <w:tcPr>
            <w:tcW w:type="auto" w:w="348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7"/>
                <w:szCs w:val="17"/>
              </w:rPr>
              <w:t xml:space="preserve">One IS Policy document, approved by top management (CEO), that simultaneously references all applicable Indonesian regulations by article number. Not a generic policy with a compliance annex — a genuinely multi-framework policy where each section is framed in the context of both ISO 27001 requirements and Indonesian regulatory obligations.</w:t>
            </w:r>
          </w:p>
        </w:tc>
        <w:tc>
          <w:tcPr>
            <w:tcW w:type="auto" w:w="288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7"/>
                <w:szCs w:val="17"/>
              </w:rPr>
              <w:t xml:space="preserve">Policy structure: (1) Scope and applicability — explicitly names applicable regulations, (2) Risk appetite — quantitative thresholds that satisfy POJK board reporting and ISO 27001 Clause 6 simultaneously, (3) Regulatory commitments — UU PDP Art. 35, POJK 11 Pasal 26, PBI 23 Pasal 23 all cited in the policy as compliance drivers, (4) Review cycle — aligned with the most demanding review schedule among all applicable regulations.</w:t>
            </w:r>
          </w:p>
        </w:tc>
        <w:tc>
          <w:tcPr>
            <w:tcW w:type="auto" w:w="1000"/>
            <w:tcBorders>
              <w:top w:val="single" w:color="DBEAFE" w:sz="1"/>
              <w:left w:val="single" w:color="DBEAFE" w:sz="1"/>
              <w:bottom w:val="single" w:color="DBEAFE" w:sz="1"/>
              <w:right w:val="single" w:color="DBEAFE" w:sz="1"/>
            </w:tcBorders>
            <w:shd w:fill="ECFDF5" w:val="clear"/>
            <w:tcMar>
              <w:top w:type="dxa" w:w="110"/>
              <w:left w:type="dxa" w:w="90"/>
              <w:bottom w:type="dxa" w:w="110"/>
              <w:right w:type="dxa" w:w="90"/>
            </w:tcMar>
          </w:tcPr>
          <w:p>
            <w:r>
              <w:rPr>
                <w:rFonts w:ascii="Georgia" w:cs="Georgia" w:eastAsia="Georgia" w:hAnsi="Georgia"/>
                <w:i/>
                <w:iCs/>
                <w:color w:val="065F46"/>
                <w:sz w:val="15"/>
                <w:szCs w:val="15"/>
              </w:rPr>
              <w:t xml:space="preserve">Auditors see an IS Policy with regulatory depth. OJK examiners see IT governance policy compliance. KOMINFO inspectors see UU PDP accountability. One document, three regulatory purposes.</w:t>
            </w:r>
          </w:p>
        </w:tc>
      </w:tr>
      <w:tr>
        <w:tc>
          <w:tcPr>
            <w:tcW w:type="auto" w:w="200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7"/>
                <w:szCs w:val="17"/>
              </w:rPr>
              <w:t xml:space="preserve">Risk layer — multi-framework risk register</w:t>
            </w:r>
          </w:p>
        </w:tc>
        <w:tc>
          <w:tcPr>
            <w:tcW w:type="auto" w:w="348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r>
              <w:rPr>
                <w:rFonts w:ascii="Georgia" w:cs="Georgia" w:eastAsia="Georgia" w:hAnsi="Georgia"/>
                <w:color w:val="111827"/>
                <w:sz w:val="17"/>
                <w:szCs w:val="17"/>
              </w:rPr>
              <w:t xml:space="preserve">A risk register structured to satisfy ISO 27001 Clause 6.1.2, POJK 21 IT risk management, and UU PDP risk-based accountability simultaneously. Uses ISO 27001's L×I methodology as the base, enhanced with regulatory risk categorization columns.</w:t>
            </w:r>
          </w:p>
        </w:tc>
        <w:tc>
          <w:tcPr>
            <w:tcW w:type="auto" w:w="288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7"/>
                <w:szCs w:val="17"/>
              </w:rPr>
              <w:t xml:space="preserve">Risk register columns: Risk ID, Description (asset+threat+vulnerability), Inherent L×I, POJK risk category (operational/legal/strategic/reputational), UU PDP data subject impact (yes/no, high/low), Annex A controls, Regulatory obligations addressed, Residual score, Risk owner, Accepted. The POJK and UU PDP columns are derived from existing risk data — not additional work.</w:t>
            </w:r>
          </w:p>
        </w:tc>
        <w:tc>
          <w:tcPr>
            <w:tcW w:type="auto" w:w="1000"/>
            <w:tcBorders>
              <w:top w:val="single" w:color="DBEAFE" w:sz="1"/>
              <w:left w:val="single" w:color="DBEAFE" w:sz="1"/>
              <w:bottom w:val="single" w:color="DBEAFE" w:sz="1"/>
              <w:right w:val="single" w:color="DBEAFE" w:sz="1"/>
            </w:tcBorders>
            <w:shd w:fill="ECFDF5" w:val="clear"/>
            <w:tcMar>
              <w:top w:type="dxa" w:w="110"/>
              <w:left w:type="dxa" w:w="90"/>
              <w:bottom w:type="dxa" w:w="110"/>
              <w:right w:type="dxa" w:w="90"/>
            </w:tcMar>
          </w:tcPr>
          <w:p>
            <w:r>
              <w:rPr>
                <w:rFonts w:ascii="Georgia" w:cs="Georgia" w:eastAsia="Georgia" w:hAnsi="Georgia"/>
                <w:i/>
                <w:iCs/>
                <w:color w:val="065F46"/>
                <w:sz w:val="15"/>
                <w:szCs w:val="15"/>
              </w:rPr>
              <w:t xml:space="preserve">Risk register serves ISO 27001 audit, POJK IT risk examination, and UU PDP accountability demonstration simultaneously. Each regulatory perspective is a filter on the same register, not a separate document.</w:t>
            </w:r>
          </w:p>
        </w:tc>
      </w:tr>
      <w:tr>
        <w:tc>
          <w:tcPr>
            <w:tcW w:type="auto" w:w="200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7"/>
                <w:szCs w:val="17"/>
              </w:rPr>
              <w:t xml:space="preserve">Control layer — SoA with regulatory mapping</w:t>
            </w:r>
          </w:p>
        </w:tc>
        <w:tc>
          <w:tcPr>
            <w:tcW w:type="auto" w:w="348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7"/>
                <w:szCs w:val="17"/>
              </w:rPr>
              <w:t xml:space="preserve">The Statement of Applicability includes a regulatory mapping column showing which Indonesian regulations each applicable control addresses. Applicability justifications reference both risk register entries and regulatory article numbers.</w:t>
            </w:r>
          </w:p>
        </w:tc>
        <w:tc>
          <w:tcPr>
            <w:tcW w:type="auto" w:w="288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7"/>
                <w:szCs w:val="17"/>
              </w:rPr>
              <w:t xml:space="preserve">Add regulatory mapping column to SoA: for each applicable control, list the Indonesian regulation articles it satisfies (e.g. A.8.5 → POJK 11 Pasal 29, PBI 23 Pasal 25, UU PDP Art. 35). Justifications read: 'Applicable — treats risk R-007 (credential compromise, score 20/25) and satisfies POJK 11 Pasal 29 (MFA requirement for privileged access).'</w:t>
            </w:r>
          </w:p>
        </w:tc>
        <w:tc>
          <w:tcPr>
            <w:tcW w:type="auto" w:w="1000"/>
            <w:tcBorders>
              <w:top w:val="single" w:color="DBEAFE" w:sz="1"/>
              <w:left w:val="single" w:color="DBEAFE" w:sz="1"/>
              <w:bottom w:val="single" w:color="DBEAFE" w:sz="1"/>
              <w:right w:val="single" w:color="DBEAFE" w:sz="1"/>
            </w:tcBorders>
            <w:shd w:fill="ECFDF5" w:val="clear"/>
            <w:tcMar>
              <w:top w:type="dxa" w:w="110"/>
              <w:left w:type="dxa" w:w="90"/>
              <w:bottom w:type="dxa" w:w="110"/>
              <w:right w:type="dxa" w:w="90"/>
            </w:tcMar>
          </w:tcPr>
          <w:p>
            <w:r>
              <w:rPr>
                <w:rFonts w:ascii="Georgia" w:cs="Georgia" w:eastAsia="Georgia" w:hAnsi="Georgia"/>
                <w:i/>
                <w:iCs/>
                <w:color w:val="065F46"/>
                <w:sz w:val="15"/>
                <w:szCs w:val="15"/>
              </w:rPr>
              <w:t xml:space="preserve">SoA serves as the primary evidence document for ISO 27001 Stage 1, OJK off-site examination, and BI pre-license review. Regulators can read across the table from requirement to control to implementation status.</w:t>
            </w:r>
          </w:p>
        </w:tc>
      </w:tr>
      <w:tr>
        <w:tc>
          <w:tcPr>
            <w:tcW w:type="auto" w:w="200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7"/>
                <w:szCs w:val="17"/>
              </w:rPr>
              <w:t xml:space="preserve">Evidence layer — organized by regulation and clause</w:t>
            </w:r>
          </w:p>
        </w:tc>
        <w:tc>
          <w:tcPr>
            <w:tcW w:type="auto" w:w="348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r>
              <w:rPr>
                <w:rFonts w:ascii="Georgia" w:cs="Georgia" w:eastAsia="Georgia" w:hAnsi="Georgia"/>
                <w:color w:val="111827"/>
                <w:sz w:val="17"/>
                <w:szCs w:val="17"/>
              </w:rPr>
              <w:t xml:space="preserve">Evidence library organized with dual navigation: by ISO 27001 clause (for certification audit navigation) and by regulation (for regulatory examination navigation). The same evidence items appear in both views — no duplication.</w:t>
            </w:r>
          </w:p>
        </w:tc>
        <w:tc>
          <w:tcPr>
            <w:tcW w:type="auto" w:w="288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7"/>
                <w:szCs w:val="17"/>
              </w:rPr>
              <w:t xml:space="preserve">Two-level folder/tag structure: Top level by ISO 27001 clause/Annex A control (e.g. 8.5-Secure-Authentication). Secondary tag/folder by regulation (e.g. POJK-11, PBI-23, UU-PDP). Evidence items tagged for all applicable frameworks. In a GRC platform: a single evidence record linked to multiple control and regulatory references.</w:t>
            </w:r>
          </w:p>
        </w:tc>
        <w:tc>
          <w:tcPr>
            <w:tcW w:type="auto" w:w="1000"/>
            <w:tcBorders>
              <w:top w:val="single" w:color="DBEAFE" w:sz="1"/>
              <w:left w:val="single" w:color="DBEAFE" w:sz="1"/>
              <w:bottom w:val="single" w:color="DBEAFE" w:sz="1"/>
              <w:right w:val="single" w:color="DBEAFE" w:sz="1"/>
            </w:tcBorders>
            <w:shd w:fill="ECFDF5" w:val="clear"/>
            <w:tcMar>
              <w:top w:type="dxa" w:w="110"/>
              <w:left w:type="dxa" w:w="90"/>
              <w:bottom w:type="dxa" w:w="110"/>
              <w:right w:type="dxa" w:w="90"/>
            </w:tcMar>
          </w:tcPr>
          <w:p>
            <w:r>
              <w:rPr>
                <w:rFonts w:ascii="Georgia" w:cs="Georgia" w:eastAsia="Georgia" w:hAnsi="Georgia"/>
                <w:i/>
                <w:iCs/>
                <w:color w:val="065F46"/>
                <w:sz w:val="15"/>
                <w:szCs w:val="15"/>
              </w:rPr>
              <w:t xml:space="preserve">During an ISO 27001 Stage 2 audit: evidence navigated by clause. During an OJK examination: evidence navigated by POJK 11 section. During a BI supervision: evidence navigated by PBI 23 section. Same evidence, multiple navigation paths.</w:t>
            </w:r>
          </w:p>
        </w:tc>
      </w:tr>
      <w:tr>
        <w:tc>
          <w:tcPr>
            <w:tcW w:type="auto" w:w="2000"/>
            <w:tcBorders>
              <w:top w:val="single" w:color="DBEAFE" w:sz="1"/>
              <w:left w:val="single" w:color="DBEAFE" w:sz="1"/>
              <w:bottom w:val="single" w:color="DBEAFE" w:sz="1"/>
              <w:right w:val="single" w:color="DBEAFE" w:sz="1"/>
            </w:tcBorders>
            <w:shd w:fill="6D28D9" w:val="clear"/>
            <w:tcMar>
              <w:top w:type="dxa" w:w="110"/>
              <w:left w:type="dxa" w:w="110"/>
              <w:bottom w:type="dxa" w:w="110"/>
              <w:right w:type="dxa" w:w="110"/>
            </w:tcMar>
          </w:tcPr>
          <w:p>
            <w:r>
              <w:rPr>
                <w:rFonts w:ascii="Arial" w:cs="Arial" w:eastAsia="Arial" w:hAnsi="Arial"/>
                <w:b/>
                <w:bCs/>
                <w:color w:val="FFFFFF"/>
                <w:sz w:val="17"/>
                <w:szCs w:val="17"/>
              </w:rPr>
              <w:t xml:space="preserve">Notification layer — unified incident response</w:t>
            </w:r>
          </w:p>
        </w:tc>
        <w:tc>
          <w:tcPr>
            <w:tcW w:type="auto" w:w="348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7"/>
                <w:szCs w:val="17"/>
              </w:rPr>
              <w:t xml:space="preserve">A single incident response procedure with a notification decision tree that addresses all applicable regulatory notification obligations from a single trigger point. No separate 'ISO 27001 incident response' and 'regulatory incident response' — one integrated procedure.</w:t>
            </w:r>
          </w:p>
        </w:tc>
        <w:tc>
          <w:tcPr>
            <w:tcW w:type="auto" w:w="288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7"/>
                <w:szCs w:val="17"/>
              </w:rPr>
              <w:t xml:space="preserve">Incident response procedure step 7 (notification): for any P1/P2 incident, run the notification decision tree simultaneously: (a) Is this a payment system incident? → BI within 2 hours. (b) Is this an OJK-supervised entity IT incident? → OJK within 72 hours. (c) Is this a personal data breach? → KOMINFO within 14 days; data subjects if high risk. (d) Is this a critical infrastructure cyber incident? → BSSN within 24 hours. Each branch assigns a named responsible person and provides the portal URL and submission format.</w:t>
            </w:r>
          </w:p>
        </w:tc>
        <w:tc>
          <w:tcPr>
            <w:tcW w:type="auto" w:w="1000"/>
            <w:tcBorders>
              <w:top w:val="single" w:color="DBEAFE" w:sz="1"/>
              <w:left w:val="single" w:color="DBEAFE" w:sz="1"/>
              <w:bottom w:val="single" w:color="DBEAFE" w:sz="1"/>
              <w:right w:val="single" w:color="DBEAFE" w:sz="1"/>
            </w:tcBorders>
            <w:shd w:fill="ECFDF5" w:val="clear"/>
            <w:tcMar>
              <w:top w:type="dxa" w:w="110"/>
              <w:left w:type="dxa" w:w="90"/>
              <w:bottom w:type="dxa" w:w="110"/>
              <w:right w:type="dxa" w:w="90"/>
            </w:tcMar>
          </w:tcPr>
          <w:p>
            <w:r>
              <w:rPr>
                <w:rFonts w:ascii="Georgia" w:cs="Georgia" w:eastAsia="Georgia" w:hAnsi="Georgia"/>
                <w:i/>
                <w:iCs/>
                <w:color w:val="065F46"/>
                <w:sz w:val="15"/>
                <w:szCs w:val="15"/>
              </w:rPr>
              <w:t xml:space="preserve">Under time pressure, staff follow a single procedure. The notification decision tree runs in parallel for all applicable regulators. No deadline is missed because a separate procedure was not consulted. Evidence of notification is captured in the single incident record.</w:t>
            </w:r>
          </w:p>
        </w:tc>
      </w:tr>
      <w:tr>
        <w:tc>
          <w:tcPr>
            <w:tcW w:type="auto" w:w="2000"/>
            <w:tcBorders>
              <w:top w:val="single" w:color="DBEAFE" w:sz="1"/>
              <w:left w:val="single" w:color="DBEAFE" w:sz="1"/>
              <w:bottom w:val="single" w:color="DBEAFE" w:sz="1"/>
              <w:right w:val="single" w:color="DBEAFE" w:sz="1"/>
            </w:tcBorders>
            <w:shd w:fill="B45309" w:val="clear"/>
            <w:tcMar>
              <w:top w:type="dxa" w:w="110"/>
              <w:left w:type="dxa" w:w="110"/>
              <w:bottom w:type="dxa" w:w="110"/>
              <w:right w:type="dxa" w:w="110"/>
            </w:tcMar>
          </w:tcPr>
          <w:p>
            <w:r>
              <w:rPr>
                <w:rFonts w:ascii="Arial" w:cs="Arial" w:eastAsia="Arial" w:hAnsi="Arial"/>
                <w:b/>
                <w:bCs/>
                <w:color w:val="FFFFFF"/>
                <w:sz w:val="17"/>
                <w:szCs w:val="17"/>
              </w:rPr>
              <w:t xml:space="preserve">Audit layer — internal audit with multi-framework scope</w:t>
            </w:r>
          </w:p>
        </w:tc>
        <w:tc>
          <w:tcPr>
            <w:tcW w:type="auto" w:w="348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r>
              <w:rPr>
                <w:rFonts w:ascii="Georgia" w:cs="Georgia" w:eastAsia="Georgia" w:hAnsi="Georgia"/>
                <w:color w:val="111827"/>
                <w:sz w:val="17"/>
                <w:szCs w:val="17"/>
              </w:rPr>
              <w:t xml:space="preserve">The ISO 27001 internal audit program explicitly covers regulatory compliance areas in its scope, enabling a single audit cycle to generate evidence for both the ISMS certification program and regulatory examination readiness.</w:t>
            </w:r>
          </w:p>
        </w:tc>
        <w:tc>
          <w:tcPr>
            <w:tcW w:type="auto" w:w="288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7"/>
                <w:szCs w:val="17"/>
              </w:rPr>
              <w:t xml:space="preserve">Internal audit scope statement includes: 'This audit covers ISO 27001 Clauses 4–10 and applicable Annex A controls, and additionally covers compliance with: UU PDP Art. 35 and 46, POJK 11 Pasal 26–42 (IS controls) and Pasal 56–68 (IT audit), PBI 23 Pasal 23–45 (IS security and availability) as applicable.' Audit findings are classified with regulatory reference alongside clause reference.</w:t>
            </w:r>
          </w:p>
        </w:tc>
        <w:tc>
          <w:tcPr>
            <w:tcW w:type="auto" w:w="1000"/>
            <w:tcBorders>
              <w:top w:val="single" w:color="DBEAFE" w:sz="1"/>
              <w:left w:val="single" w:color="DBEAFE" w:sz="1"/>
              <w:bottom w:val="single" w:color="DBEAFE" w:sz="1"/>
              <w:right w:val="single" w:color="DBEAFE" w:sz="1"/>
            </w:tcBorders>
            <w:shd w:fill="ECFDF5" w:val="clear"/>
            <w:tcMar>
              <w:top w:type="dxa" w:w="110"/>
              <w:left w:type="dxa" w:w="90"/>
              <w:bottom w:type="dxa" w:w="110"/>
              <w:right w:type="dxa" w:w="90"/>
            </w:tcMar>
          </w:tcPr>
          <w:p>
            <w:r>
              <w:rPr>
                <w:rFonts w:ascii="Georgia" w:cs="Georgia" w:eastAsia="Georgia" w:hAnsi="Georgia"/>
                <w:i/>
                <w:iCs/>
                <w:color w:val="065F46"/>
                <w:sz w:val="15"/>
                <w:szCs w:val="15"/>
              </w:rPr>
              <w:t xml:space="preserve">One internal audit report serves ISO 27001 Clause 9.2 compliance, POJK 11 IT audit evidence, and UU PDP accountability documentation. OJK examiners who review the audit report see an audit scope that covers their requirements — not just ISO 27001.</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The single-document principle in practice: The instinct when faced with multiple regulatory frameworks is to create multiple documents — an ISO 27001 IS Policy, a UU PDP privacy policy, a POJK IT governance policy, a PBI payment security policy. This creates immediate version control problems: when the risk appetite changes, which policy gets updated? When a new regulation is published, which document references it? The single-document principle — one IS Policy that references all applicable regulations — is more disciplined and more credible to regulators who want to see that security management is integrated, not fragmented.</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Indonesian Localization Considerations</w:t>
      </w:r>
    </w:p>
    <w:p>
      <w:pPr>
        <w:spacing w:after="80"/>
      </w:pPr>
      <w:r>
        <w:t xml:space="preserve"/>
      </w:r>
    </w:p>
    <w:p>
      <w:pPr>
        <w:spacing w:after="160" w:line="320"/>
        <w:jc w:val="both"/>
      </w:pPr>
      <w:r>
        <w:rPr>
          <w:rFonts w:ascii="Georgia" w:cs="Georgia" w:eastAsia="Georgia" w:hAnsi="Georgia"/>
          <w:color w:val="111827"/>
          <w:sz w:val="22"/>
          <w:szCs w:val="22"/>
        </w:rPr>
        <w:t xml:space="preserve">A compliance-ready Indonesian ISMS is not an international ISO 27001 implementation template with Indonesian regulatory references added at the end. Five localization considerations must be addressed from the beginning to produce an ISMS that is genuine for the Indonesian context: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000"/>
        <w:gridCol w:w="3760"/>
        <w:gridCol w:w="1800"/>
      </w:tblGrid>
      <w:tr>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Localization area</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Consideration</w:t>
            </w:r>
          </w:p>
        </w:tc>
        <w:tc>
          <w:tcPr>
            <w:tcW w:type="dxa" w:w="3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Recommendation</w:t>
            </w:r>
          </w:p>
        </w:tc>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Risk if not addressed</w:t>
            </w:r>
          </w:p>
        </w:tc>
      </w:tr>
      <w:tr>
        <w:tc>
          <w:tcPr>
            <w:tcW w:type="auto" w:w="180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7"/>
                <w:szCs w:val="17"/>
              </w:rPr>
              <w:t xml:space="preserve">Language of documentation</w:t>
            </w:r>
          </w:p>
        </w:tc>
        <w:tc>
          <w:tcPr>
            <w:tcW w:type="auto" w:w="200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111827"/>
                <w:sz w:val="16"/>
                <w:szCs w:val="16"/>
              </w:rPr>
              <w:t xml:space="preserve">ISO 27001 does not require documentation in a specific language. Indonesian regulatory submissions (OJK, BI, KOMINFO) require Bahasa Indonesia. Staff awareness training must be in Bahasa Indonesia for Indonesian-speaking staff.</w:t>
            </w:r>
          </w:p>
        </w:tc>
        <w:tc>
          <w:tcPr>
            <w:tcW w:type="auto" w:w="376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7"/>
                <w:szCs w:val="17"/>
              </w:rPr>
              <w:t xml:space="preserve">Maintain ISMS core documentation in English (for international alignment and CB audit efficiency) with Bahasa Indonesia translations of: IS Policy (for staff communication and regulatory submission), incident response procedure (for operational use under pressure), staff awareness content (for genuine understanding). Certification body auditors at BSI, SGS, TÜV can typically work with English documentation with Bahasa Indonesia translations for regulatory references.</w:t>
            </w:r>
          </w:p>
        </w:tc>
        <w:tc>
          <w:tcPr>
            <w:tcW w:type="auto" w:w="1800"/>
            <w:tcBorders>
              <w:top w:val="single" w:color="DBEAFE" w:sz="1"/>
              <w:left w:val="single" w:color="DBEAFE" w:sz="1"/>
              <w:bottom w:val="single" w:color="DBEAFE" w:sz="1"/>
              <w:right w:val="single" w:color="DBEAFE" w:sz="1"/>
            </w:tcBorders>
            <w:shd w:fill="FEF2F2" w:val="clear"/>
            <w:tcMar>
              <w:top w:type="dxa" w:w="110"/>
              <w:left w:type="dxa" w:w="100"/>
              <w:bottom w:type="dxa" w:w="110"/>
              <w:right w:type="dxa" w:w="100"/>
            </w:tcMar>
          </w:tcPr>
          <w:p>
            <w:r>
              <w:rPr>
                <w:rFonts w:ascii="Georgia" w:cs="Georgia" w:eastAsia="Georgia" w:hAnsi="Georgia"/>
                <w:i/>
                <w:iCs/>
                <w:color w:val="991B1B"/>
                <w:sz w:val="15"/>
                <w:szCs w:val="15"/>
              </w:rPr>
              <w:t xml:space="preserve">All-English documentation that Indonesian staff cannot read produces a compliance gap — staff cannot comply with policies they have not read in a language they understand. All-Bahasa Indonesia documentation creates friction in international CB audits.</w:t>
            </w:r>
          </w:p>
        </w:tc>
      </w:tr>
      <w:tr>
        <w:tc>
          <w:tcPr>
            <w:tcW w:type="auto" w:w="180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7"/>
                <w:szCs w:val="17"/>
              </w:rPr>
              <w:t xml:space="preserve">Regulatory reference integration</w:t>
            </w:r>
          </w:p>
        </w:tc>
        <w:tc>
          <w:tcPr>
            <w:tcW w:type="auto" w:w="200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r>
              <w:rPr>
                <w:rFonts w:ascii="Georgia" w:cs="Georgia" w:eastAsia="Georgia" w:hAnsi="Georgia"/>
                <w:color w:val="111827"/>
                <w:sz w:val="16"/>
                <w:szCs w:val="16"/>
              </w:rPr>
              <w:t xml:space="preserve">Indonesian regulations use article numbering (Pasal) and regulation numbering (POJK, PBI, UU) that must be correctly cited in ISMS documentation to be credible to Indonesian regulators.</w:t>
            </w:r>
          </w:p>
        </w:tc>
        <w:tc>
          <w:tcPr>
            <w:tcW w:type="auto" w:w="376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r>
              <w:rPr>
                <w:rFonts w:ascii="Georgia" w:cs="Georgia" w:eastAsia="Georgia" w:hAnsi="Georgia"/>
                <w:color w:val="111827"/>
                <w:sz w:val="17"/>
                <w:szCs w:val="17"/>
              </w:rPr>
              <w:t xml:space="preserve">IS Policy regulatory references should use full citation format: 'Undang-Undang Nomor 27 Tahun 2022 tentang Perlindungan Data Pribadi (UU PDP), Pasal 35' — not just 'data protection law' or 'applicable regulations.' Regulatory updates (POJK amendments, new BI circulars) must be reflected in the context analysis and IS Policy within 30 days of publication.</w:t>
            </w:r>
          </w:p>
        </w:tc>
        <w:tc>
          <w:tcPr>
            <w:tcW w:type="auto" w:w="1800"/>
            <w:tcBorders>
              <w:top w:val="single" w:color="DBEAFE" w:sz="1"/>
              <w:left w:val="single" w:color="DBEAFE" w:sz="1"/>
              <w:bottom w:val="single" w:color="DBEAFE" w:sz="1"/>
              <w:right w:val="single" w:color="DBEAFE" w:sz="1"/>
            </w:tcBorders>
            <w:shd w:fill="FEF2F2" w:val="clear"/>
            <w:tcMar>
              <w:top w:type="dxa" w:w="110"/>
              <w:left w:type="dxa" w:w="100"/>
              <w:bottom w:type="dxa" w:w="110"/>
              <w:right w:type="dxa" w:w="100"/>
            </w:tcMar>
          </w:tcPr>
          <w:p>
            <w:r>
              <w:rPr>
                <w:rFonts w:ascii="Georgia" w:cs="Georgia" w:eastAsia="Georgia" w:hAnsi="Georgia"/>
                <w:i/>
                <w:iCs/>
                <w:color w:val="991B1B"/>
                <w:sz w:val="15"/>
                <w:szCs w:val="15"/>
              </w:rPr>
              <w:t xml:space="preserve">Generic regulatory references ('applicable Indonesian laws') are not convincing to OJK examiners who want to see that specific POJK requirements have been understood and implemented. Specific article-level references demonstrate genuine regulatory awareness.</w:t>
            </w:r>
          </w:p>
        </w:tc>
      </w:tr>
      <w:tr>
        <w:tc>
          <w:tcPr>
            <w:tcW w:type="auto" w:w="180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7"/>
                <w:szCs w:val="17"/>
              </w:rPr>
              <w:t xml:space="preserve">Indonesian organizational culture considerations</w:t>
            </w:r>
          </w:p>
        </w:tc>
        <w:tc>
          <w:tcPr>
            <w:tcW w:type="auto" w:w="200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111827"/>
                <w:sz w:val="16"/>
                <w:szCs w:val="16"/>
              </w:rPr>
              <w:t xml:space="preserve">Several aspects of Indonesian organizational culture affect ISMS implementation: hierarchy-driven communication that can suppress security reporting, deference to senior figures that affects management review quality, and relationship-based business culture that creates informal supplier arrangements incompatible with formal security addenda.</w:t>
            </w:r>
          </w:p>
        </w:tc>
        <w:tc>
          <w:tcPr>
            <w:tcW w:type="auto" w:w="376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7"/>
                <w:szCs w:val="17"/>
              </w:rPr>
              <w:t xml:space="preserve">Address hierarchy and reporting culture explicitly in awareness training — 'no blame' reporting must be demonstrated by senior leaders, not just communicated by the ISMS Manager. Management review must be genuinely participatory — not a presentation to the CEO, but a discussion with the CEO. Supplier security addenda must be approached as a professional requirement, not a personal challenge to the relationship. Build internal champions in business units who model the security behaviors expected.</w:t>
            </w:r>
          </w:p>
        </w:tc>
        <w:tc>
          <w:tcPr>
            <w:tcW w:type="auto" w:w="1800"/>
            <w:tcBorders>
              <w:top w:val="single" w:color="DBEAFE" w:sz="1"/>
              <w:left w:val="single" w:color="DBEAFE" w:sz="1"/>
              <w:bottom w:val="single" w:color="DBEAFE" w:sz="1"/>
              <w:right w:val="single" w:color="DBEAFE" w:sz="1"/>
            </w:tcBorders>
            <w:shd w:fill="FEF2F2" w:val="clear"/>
            <w:tcMar>
              <w:top w:type="dxa" w:w="110"/>
              <w:left w:type="dxa" w:w="100"/>
              <w:bottom w:type="dxa" w:w="110"/>
              <w:right w:type="dxa" w:w="100"/>
            </w:tcMar>
          </w:tcPr>
          <w:p>
            <w:r>
              <w:rPr>
                <w:rFonts w:ascii="Georgia" w:cs="Georgia" w:eastAsia="Georgia" w:hAnsi="Georgia"/>
                <w:i/>
                <w:iCs/>
                <w:color w:val="991B1B"/>
                <w:sz w:val="15"/>
                <w:szCs w:val="15"/>
              </w:rPr>
              <w:t xml:space="preserve">An ISMS that does not account for Indonesian cultural context will have a high completion rate on training records and a low rate of genuine behavioral change. Phishing simulations will reveal the gap.</w:t>
            </w:r>
          </w:p>
        </w:tc>
      </w:tr>
      <w:tr>
        <w:tc>
          <w:tcPr>
            <w:tcW w:type="auto" w:w="180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7"/>
                <w:szCs w:val="17"/>
              </w:rPr>
              <w:t xml:space="preserve">SME capacity constraints</w:t>
            </w:r>
          </w:p>
        </w:tc>
        <w:tc>
          <w:tcPr>
            <w:tcW w:type="auto" w:w="200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r>
              <w:rPr>
                <w:rFonts w:ascii="Georgia" w:cs="Georgia" w:eastAsia="Georgia" w:hAnsi="Georgia"/>
                <w:color w:val="111827"/>
                <w:sz w:val="16"/>
                <w:szCs w:val="16"/>
              </w:rPr>
              <w:t xml:space="preserve">Many Indonesian organizations seeking ISO 27001 certification are SMEs (under 200 staff) with limited dedicated security resources. The ISMS Manager may also be the IT Manager, the risk manager, and a technical staff member simultaneously. Implementation timelines and evidence collection must be realistic for this capacity.</w:t>
            </w:r>
          </w:p>
        </w:tc>
        <w:tc>
          <w:tcPr>
            <w:tcW w:type="auto" w:w="376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r>
              <w:rPr>
                <w:rFonts w:ascii="Georgia" w:cs="Georgia" w:eastAsia="Georgia" w:hAnsi="Georgia"/>
                <w:color w:val="111827"/>
                <w:sz w:val="17"/>
                <w:szCs w:val="17"/>
              </w:rPr>
              <w:t xml:space="preserve">Scope tightly — a focused ISMS scope covering 2–3 critical systems is better than a broad scope that cannot be adequately implemented. Use a GRC platform (Bitlion) to reduce manual evidence management workload. Prioritize the 20 controls that produce 80% of audit defensibility: 5.1, 5.2, 5.26, 6.1.2, 6.1.3, 8.5, 8.8, 8.13, 8.15, 8.16, 8.22, and Clause 9 governance. Phase non-critical controls into Year 2 implementation.</w:t>
            </w:r>
          </w:p>
        </w:tc>
        <w:tc>
          <w:tcPr>
            <w:tcW w:type="auto" w:w="1800"/>
            <w:tcBorders>
              <w:top w:val="single" w:color="DBEAFE" w:sz="1"/>
              <w:left w:val="single" w:color="DBEAFE" w:sz="1"/>
              <w:bottom w:val="single" w:color="DBEAFE" w:sz="1"/>
              <w:right w:val="single" w:color="DBEAFE" w:sz="1"/>
            </w:tcBorders>
            <w:shd w:fill="FEF2F2" w:val="clear"/>
            <w:tcMar>
              <w:top w:type="dxa" w:w="110"/>
              <w:left w:type="dxa" w:w="100"/>
              <w:bottom w:type="dxa" w:w="110"/>
              <w:right w:type="dxa" w:w="100"/>
            </w:tcMar>
          </w:tcPr>
          <w:p>
            <w:r>
              <w:rPr>
                <w:rFonts w:ascii="Georgia" w:cs="Georgia" w:eastAsia="Georgia" w:hAnsi="Georgia"/>
                <w:i/>
                <w:iCs/>
                <w:color w:val="991B1B"/>
                <w:sz w:val="15"/>
                <w:szCs w:val="15"/>
              </w:rPr>
              <w:t xml:space="preserve">Over-scoped ISMS implementations fail at Stage 2 because the organization cannot evidence every control. Under-resourced implementation teams produce audit reports that show everything is 'partially implemented' with no clear completion path.</w:t>
            </w:r>
          </w:p>
        </w:tc>
      </w:tr>
      <w:tr>
        <w:tc>
          <w:tcPr>
            <w:tcW w:type="auto" w:w="1800"/>
            <w:tcBorders>
              <w:top w:val="single" w:color="DBEAFE" w:sz="1"/>
              <w:left w:val="single" w:color="DBEAFE" w:sz="1"/>
              <w:bottom w:val="single" w:color="DBEAFE" w:sz="1"/>
              <w:right w:val="single" w:color="DBEAFE" w:sz="1"/>
            </w:tcBorders>
            <w:shd w:fill="6D28D9" w:val="clear"/>
            <w:tcMar>
              <w:top w:type="dxa" w:w="110"/>
              <w:left w:type="dxa" w:w="110"/>
              <w:bottom w:type="dxa" w:w="110"/>
              <w:right w:type="dxa" w:w="110"/>
            </w:tcMar>
          </w:tcPr>
          <w:p>
            <w:r>
              <w:rPr>
                <w:rFonts w:ascii="Arial" w:cs="Arial" w:eastAsia="Arial" w:hAnsi="Arial"/>
                <w:b/>
                <w:bCs/>
                <w:color w:val="FFFFFF"/>
                <w:sz w:val="17"/>
                <w:szCs w:val="17"/>
              </w:rPr>
              <w:t xml:space="preserve">Indonesian data residency landscape</w:t>
            </w:r>
          </w:p>
        </w:tc>
        <w:tc>
          <w:tcPr>
            <w:tcW w:type="auto" w:w="200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111827"/>
                <w:sz w:val="16"/>
                <w:szCs w:val="16"/>
              </w:rPr>
              <w:t xml:space="preserve">UU PDP cross-border transfer restrictions and PBI 23 payment data localization both create data residency obligations that are not reflected in standard ISO 27001 implementation. The default behavior of most cloud providers (AWS, GCP, Azure) is to use the Singapore region, not Jakarta.</w:t>
            </w:r>
          </w:p>
        </w:tc>
        <w:tc>
          <w:tcPr>
            <w:tcW w:type="auto" w:w="376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7"/>
                <w:szCs w:val="17"/>
              </w:rPr>
              <w:t xml:space="preserve">Cloud architecture review is mandatory before Stage 1 submission — confirm that all in-scope personal data and payment data resides in Indonesian regions. AWS: ap-southeast-3 (Jakarta). GCP: asia-southeast2 (Jakarta). Azure: Southeast Asia region does not have Indonesian data centers as of 2026 — consider alternative architecture for Indonesian data. Document data localization architecture in the ISMS scope statement and as a control evidence item for 5.14 and PBI 23.</w:t>
            </w:r>
          </w:p>
        </w:tc>
        <w:tc>
          <w:tcPr>
            <w:tcW w:type="auto" w:w="1800"/>
            <w:tcBorders>
              <w:top w:val="single" w:color="DBEAFE" w:sz="1"/>
              <w:left w:val="single" w:color="DBEAFE" w:sz="1"/>
              <w:bottom w:val="single" w:color="DBEAFE" w:sz="1"/>
              <w:right w:val="single" w:color="DBEAFE" w:sz="1"/>
            </w:tcBorders>
            <w:shd w:fill="FEF2F2" w:val="clear"/>
            <w:tcMar>
              <w:top w:type="dxa" w:w="110"/>
              <w:left w:type="dxa" w:w="100"/>
              <w:bottom w:type="dxa" w:w="110"/>
              <w:right w:type="dxa" w:w="100"/>
            </w:tcMar>
          </w:tcPr>
          <w:p>
            <w:r>
              <w:rPr>
                <w:rFonts w:ascii="Georgia" w:cs="Georgia" w:eastAsia="Georgia" w:hAnsi="Georgia"/>
                <w:i/>
                <w:iCs/>
                <w:color w:val="991B1B"/>
                <w:sz w:val="15"/>
                <w:szCs w:val="15"/>
              </w:rPr>
              <w:t xml:space="preserve">The most common data residency gap: organization certifies an 'Indonesian ISMS' while all customer data resides in Singapore. This is simultaneously a PBI 23 violation, a potential UU PDP cross-border transfer violation, and an ISMS scope mismatch.</w:t>
            </w:r>
          </w:p>
        </w:tc>
      </w:tr>
    </w:tbl>
    <w:p>
      <w:pPr>
        <w:spacing w:after="160"/>
      </w:pPr>
      <w:r>
        <w:t xml:space="preserve"/>
      </w:r>
    </w:p>
    <w:p>
      <w:pPr>
        <w:spacing w:after="160" w:line="320"/>
        <w:jc w:val="both"/>
      </w:pPr>
      <w:r>
        <w:rPr>
          <w:rFonts w:ascii="Georgia" w:cs="Georgia" w:eastAsia="Georgia" w:hAnsi="Georgia"/>
          <w:color w:val="111827"/>
          <w:sz w:val="22"/>
          <w:szCs w:val="22"/>
        </w:rPr>
        <w:t xml:space="preserve">The Indonesian cultural considerations deserve particular attention because they are the most frequently underestimated localization factor. An ISMS Manager who has implemented ISO 27001 in European or North American contexts will find that the behavioral assumptions embedded in standard ISMS practices — open incident reporting, candid management reviews, formal supplier negotiations — require explicit cultural adaptation for the Indonesian organizational context. This is not a criticism of Indonesian organizational culture; it is a recognition that effective security governance must be culturally appropriate to be genuinely adopted rather than formally complied with.</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Integrated 12-Month Implementation Roadmap</w:t>
      </w:r>
    </w:p>
    <w:p>
      <w:pPr>
        <w:spacing w:after="80"/>
      </w:pPr>
      <w:r>
        <w:t xml:space="preserve"/>
      </w:r>
    </w:p>
    <w:p>
      <w:pPr>
        <w:spacing w:after="160" w:line="320"/>
        <w:jc w:val="both"/>
      </w:pPr>
      <w:r>
        <w:rPr>
          <w:rFonts w:ascii="Georgia" w:cs="Georgia" w:eastAsia="Georgia" w:hAnsi="Georgia"/>
          <w:color w:val="111827"/>
          <w:sz w:val="22"/>
          <w:szCs w:val="22"/>
        </w:rPr>
        <w:t xml:space="preserve">The integrated roadmap below synthesizes the implementation activities for ISO 27001, UU PDP, POJK/OJK, and BSSN into a single 12-month program. Activities that are genuinely shared (one artifact serves multiple frameworks) are shown in the Shared Outputs column — these represent the efficiency gains from the unified approach versus running separate programs: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760"/>
        <w:gridCol w:w="1480"/>
        <w:gridCol w:w="1480"/>
        <w:gridCol w:w="1480"/>
        <w:gridCol w:w="1480"/>
        <w:gridCol w:w="1680"/>
      </w:tblGrid>
      <w:tr>
        <w:tc>
          <w:tcPr>
            <w:tcW w:type="dxa" w:w="1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Phase</w:t>
            </w:r>
          </w:p>
        </w:tc>
        <w:tc>
          <w:tcPr>
            <w:tcW w:type="dxa" w:w="14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ISO 27001</w:t>
            </w:r>
          </w:p>
        </w:tc>
        <w:tc>
          <w:tcPr>
            <w:tcW w:type="dxa" w:w="14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UU PDP</w:t>
            </w:r>
          </w:p>
        </w:tc>
        <w:tc>
          <w:tcPr>
            <w:tcW w:type="dxa" w:w="14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POJK/BI</w:t>
            </w:r>
          </w:p>
        </w:tc>
        <w:tc>
          <w:tcPr>
            <w:tcW w:type="dxa" w:w="14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BSSN</w:t>
            </w:r>
          </w:p>
        </w:tc>
        <w:tc>
          <w:tcPr>
            <w:tcW w:type="dxa" w:w="1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Shared outputs</w:t>
            </w:r>
          </w:p>
        </w:tc>
      </w:tr>
      <w:tr>
        <w:tc>
          <w:tcPr>
            <w:tcW w:type="auto" w:w="176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7"/>
                <w:szCs w:val="17"/>
              </w:rPr>
              <w:t xml:space="preserve">Month 1–3: Unified Foundation</w:t>
            </w:r>
          </w:p>
        </w:tc>
        <w:tc>
          <w:tcPr>
            <w:tcW w:type="auto" w:w="1480"/>
            <w:tcBorders>
              <w:top w:val="single" w:color="DBEAFE" w:sz="1"/>
              <w:left w:val="single" w:color="DBEAFE" w:sz="1"/>
              <w:bottom w:val="single" w:color="DBEAFE" w:sz="1"/>
              <w:right w:val="single" w:color="DBEAFE" w:sz="1"/>
            </w:tcBorders>
            <w:shd w:fill="EBF2FB" w:val="clear"/>
            <w:tcMar>
              <w:top w:type="dxa" w:w="110"/>
              <w:left w:type="dxa" w:w="90"/>
              <w:bottom w:type="dxa" w:w="110"/>
              <w:right w:type="dxa" w:w="90"/>
            </w:tcMar>
          </w:tcPr>
          <w:p>
            <w:r>
              <w:rPr>
                <w:rFonts w:ascii="Georgia" w:cs="Georgia" w:eastAsia="Georgia" w:hAnsi="Georgia"/>
                <w:color w:val="1B3A5C"/>
                <w:sz w:val="15"/>
                <w:szCs w:val="15"/>
              </w:rPr>
              <w:t xml:space="preserve">ISMS scope, context analysis, IS Policy (CEO approved), interested parties register with all applicable regulations</w:t>
            </w:r>
          </w:p>
        </w:tc>
        <w:tc>
          <w:tcPr>
            <w:tcW w:type="auto" w:w="1480"/>
            <w:tcBorders>
              <w:top w:val="single" w:color="DBEAFE" w:sz="1"/>
              <w:left w:val="single" w:color="DBEAFE" w:sz="1"/>
              <w:bottom w:val="single" w:color="DBEAFE" w:sz="1"/>
              <w:right w:val="single" w:color="DBEAFE" w:sz="1"/>
            </w:tcBorders>
            <w:shd w:fill="F0FDFA" w:val="clear"/>
            <w:tcMar>
              <w:top w:type="dxa" w:w="110"/>
              <w:left w:type="dxa" w:w="90"/>
              <w:bottom w:type="dxa" w:w="110"/>
              <w:right w:type="dxa" w:w="90"/>
            </w:tcMar>
          </w:tcPr>
          <w:p>
            <w:r>
              <w:rPr>
                <w:rFonts w:ascii="Georgia" w:cs="Georgia" w:eastAsia="Georgia" w:hAnsi="Georgia"/>
                <w:color w:val="0F766E"/>
                <w:sz w:val="15"/>
                <w:szCs w:val="15"/>
              </w:rPr>
              <w:t xml:space="preserve">Personal data mapping initiated, lawful basis identified for each processing activity, DPA gap assessment completed</w:t>
            </w:r>
          </w:p>
        </w:tc>
        <w:tc>
          <w:tcPr>
            <w:tcW w:type="auto" w:w="1480"/>
            <w:tcBorders>
              <w:top w:val="single" w:color="DBEAFE" w:sz="1"/>
              <w:left w:val="single" w:color="DBEAFE" w:sz="1"/>
              <w:bottom w:val="single" w:color="DBEAFE" w:sz="1"/>
              <w:right w:val="single" w:color="DBEAFE" w:sz="1"/>
            </w:tcBorders>
            <w:shd w:fill="FFFBEB" w:val="clear"/>
            <w:tcMar>
              <w:top w:type="dxa" w:w="110"/>
              <w:left w:type="dxa" w:w="90"/>
              <w:bottom w:type="dxa" w:w="110"/>
              <w:right w:type="dxa" w:w="90"/>
            </w:tcMar>
          </w:tcPr>
          <w:p>
            <w:r>
              <w:rPr>
                <w:rFonts w:ascii="Georgia" w:cs="Georgia" w:eastAsia="Georgia" w:hAnsi="Georgia"/>
                <w:color w:val="B45309"/>
                <w:sz w:val="15"/>
                <w:szCs w:val="15"/>
              </w:rPr>
              <w:t xml:space="preserve">IT governance committee Terms of Reference drafted (if bank/PSP), applicable POJK/PBI regulations identified and added to context analysis</w:t>
            </w:r>
          </w:p>
        </w:tc>
        <w:tc>
          <w:tcPr>
            <w:tcW w:type="auto" w:w="1480"/>
            <w:tcBorders>
              <w:top w:val="single" w:color="DBEAFE" w:sz="1"/>
              <w:left w:val="single" w:color="DBEAFE" w:sz="1"/>
              <w:bottom w:val="single" w:color="DBEAFE" w:sz="1"/>
              <w:right w:val="single" w:color="DBEAFE" w:sz="1"/>
            </w:tcBorders>
            <w:shd w:fill="FEF2F2" w:val="clear"/>
            <w:tcMar>
              <w:top w:type="dxa" w:w="110"/>
              <w:left w:type="dxa" w:w="90"/>
              <w:bottom w:type="dxa" w:w="110"/>
              <w:right w:type="dxa" w:w="90"/>
            </w:tcMar>
          </w:tcPr>
          <w:p>
            <w:r>
              <w:rPr>
                <w:rFonts w:ascii="Georgia" w:cs="Georgia" w:eastAsia="Georgia" w:hAnsi="Georgia"/>
                <w:color w:val="991B1B"/>
                <w:sz w:val="15"/>
                <w:szCs w:val="15"/>
              </w:rPr>
              <w:t xml:space="preserve">Critical infrastructure designation assessed, BSSN SNSIK framework requirements reviewed (if applicable)</w:t>
            </w:r>
          </w:p>
        </w:tc>
        <w:tc>
          <w:tcPr>
            <w:tcW w:type="auto" w:w="1680"/>
            <w:tcBorders>
              <w:top w:val="single" w:color="DBEAFE" w:sz="1"/>
              <w:left w:val="single" w:color="DBEAFE" w:sz="1"/>
              <w:bottom w:val="single" w:color="DBEAFE" w:sz="1"/>
              <w:right w:val="single" w:color="DBEAFE" w:sz="1"/>
            </w:tcBorders>
            <w:shd w:fill="ECFDF5" w:val="clear"/>
            <w:tcMar>
              <w:top w:type="dxa" w:w="110"/>
              <w:left w:type="dxa" w:w="90"/>
              <w:bottom w:type="dxa" w:w="110"/>
              <w:right w:type="dxa" w:w="90"/>
            </w:tcMar>
          </w:tcPr>
          <w:p>
            <w:r>
              <w:rPr>
                <w:rFonts w:ascii="Georgia" w:cs="Georgia" w:eastAsia="Georgia" w:hAnsi="Georgia"/>
                <w:i/>
                <w:iCs/>
                <w:color w:val="065F46"/>
                <w:sz w:val="14"/>
                <w:szCs w:val="14"/>
              </w:rPr>
              <w:t xml:space="preserve">IS Policy with all applicable Indonesian regulation references. Interested parties register covering all regulators. Scope statement with explicit data localization architecture.</w:t>
            </w:r>
          </w:p>
        </w:tc>
      </w:tr>
      <w:tr>
        <w:tc>
          <w:tcPr>
            <w:tcW w:type="auto" w:w="176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7"/>
                <w:szCs w:val="17"/>
              </w:rPr>
              <w:t xml:space="preserve">Month 3–6: Risk and Control Selection</w:t>
            </w:r>
          </w:p>
        </w:tc>
        <w:tc>
          <w:tcPr>
            <w:tcW w:type="auto" w:w="1480"/>
            <w:tcBorders>
              <w:top w:val="single" w:color="DBEAFE" w:sz="1"/>
              <w:left w:val="single" w:color="DBEAFE" w:sz="1"/>
              <w:bottom w:val="single" w:color="DBEAFE" w:sz="1"/>
              <w:right w:val="single" w:color="DBEAFE" w:sz="1"/>
            </w:tcBorders>
            <w:shd w:fill="F0F7FF" w:val="clear"/>
            <w:tcMar>
              <w:top w:type="dxa" w:w="110"/>
              <w:left w:type="dxa" w:w="90"/>
              <w:bottom w:type="dxa" w:w="110"/>
              <w:right w:type="dxa" w:w="90"/>
            </w:tcMar>
          </w:tcPr>
          <w:p>
            <w:r>
              <w:rPr>
                <w:rFonts w:ascii="Georgia" w:cs="Georgia" w:eastAsia="Georgia" w:hAnsi="Georgia"/>
                <w:color w:val="1B3A5C"/>
                <w:sz w:val="15"/>
                <w:szCs w:val="15"/>
              </w:rPr>
              <w:t xml:space="preserve">Risk assessment (L×I methodology), SoA with regulatory mapping column, IS objectives</w:t>
            </w:r>
          </w:p>
        </w:tc>
        <w:tc>
          <w:tcPr>
            <w:tcW w:type="auto" w:w="1480"/>
            <w:tcBorders>
              <w:top w:val="single" w:color="DBEAFE" w:sz="1"/>
              <w:left w:val="single" w:color="DBEAFE" w:sz="1"/>
              <w:bottom w:val="single" w:color="DBEAFE" w:sz="1"/>
              <w:right w:val="single" w:color="DBEAFE" w:sz="1"/>
            </w:tcBorders>
            <w:shd w:fill="F0FDFA" w:val="clear"/>
            <w:tcMar>
              <w:top w:type="dxa" w:w="110"/>
              <w:left w:type="dxa" w:w="90"/>
              <w:bottom w:type="dxa" w:w="110"/>
              <w:right w:type="dxa" w:w="90"/>
            </w:tcMar>
          </w:tcPr>
          <w:p>
            <w:r>
              <w:rPr>
                <w:rFonts w:ascii="Georgia" w:cs="Georgia" w:eastAsia="Georgia" w:hAnsi="Georgia"/>
                <w:color w:val="0F766E"/>
                <w:sz w:val="15"/>
                <w:szCs w:val="15"/>
              </w:rPr>
              <w:t xml:space="preserve">Privacy risks added to risk assessment as distinct category. PIA methodology developed. Data subject rights procedure drafted.</w:t>
            </w:r>
          </w:p>
        </w:tc>
        <w:tc>
          <w:tcPr>
            <w:tcW w:type="auto" w:w="1480"/>
            <w:tcBorders>
              <w:top w:val="single" w:color="DBEAFE" w:sz="1"/>
              <w:left w:val="single" w:color="DBEAFE" w:sz="1"/>
              <w:bottom w:val="single" w:color="DBEAFE" w:sz="1"/>
              <w:right w:val="single" w:color="DBEAFE" w:sz="1"/>
            </w:tcBorders>
            <w:shd w:fill="FFFDF5" w:val="clear"/>
            <w:tcMar>
              <w:top w:type="dxa" w:w="110"/>
              <w:left w:type="dxa" w:w="90"/>
              <w:bottom w:type="dxa" w:w="110"/>
              <w:right w:type="dxa" w:w="90"/>
            </w:tcMar>
          </w:tcPr>
          <w:p>
            <w:r>
              <w:rPr>
                <w:rFonts w:ascii="Georgia" w:cs="Georgia" w:eastAsia="Georgia" w:hAnsi="Georgia"/>
                <w:color w:val="B45309"/>
                <w:sz w:val="15"/>
                <w:szCs w:val="15"/>
              </w:rPr>
              <w:t xml:space="preserve">Risk register tagged with POJK risk categories. Board IT risk dashboard template designed. OJK/BI notification thresholds defined.</w:t>
            </w:r>
          </w:p>
        </w:tc>
        <w:tc>
          <w:tcPr>
            <w:tcW w:type="auto" w:w="1480"/>
            <w:tcBorders>
              <w:top w:val="single" w:color="DBEAFE" w:sz="1"/>
              <w:left w:val="single" w:color="DBEAFE" w:sz="1"/>
              <w:bottom w:val="single" w:color="DBEAFE" w:sz="1"/>
              <w:right w:val="single" w:color="DBEAFE" w:sz="1"/>
            </w:tcBorders>
            <w:shd w:fill="FFF5F5" w:val="clear"/>
            <w:tcMar>
              <w:top w:type="dxa" w:w="110"/>
              <w:left w:type="dxa" w:w="90"/>
              <w:bottom w:type="dxa" w:w="110"/>
              <w:right w:type="dxa" w:w="90"/>
            </w:tcMar>
          </w:tcPr>
          <w:p>
            <w:r>
              <w:rPr>
                <w:rFonts w:ascii="Georgia" w:cs="Georgia" w:eastAsia="Georgia" w:hAnsi="Georgia"/>
                <w:color w:val="991B1B"/>
                <w:sz w:val="15"/>
                <w:szCs w:val="15"/>
              </w:rPr>
              <w:t xml:space="preserve">Critical infrastructure risk assessment covering OT/IT boundary (if applicable). BSSN SNSIK control gap analysis.</w:t>
            </w:r>
          </w:p>
        </w:tc>
        <w:tc>
          <w:tcPr>
            <w:tcW w:type="auto" w:w="1680"/>
            <w:tcBorders>
              <w:top w:val="single" w:color="DBEAFE" w:sz="1"/>
              <w:left w:val="single" w:color="DBEAFE" w:sz="1"/>
              <w:bottom w:val="single" w:color="DBEAFE" w:sz="1"/>
              <w:right w:val="single" w:color="DBEAFE" w:sz="1"/>
            </w:tcBorders>
            <w:shd w:fill="ECFDF5" w:val="clear"/>
            <w:tcMar>
              <w:top w:type="dxa" w:w="110"/>
              <w:left w:type="dxa" w:w="90"/>
              <w:bottom w:type="dxa" w:w="110"/>
              <w:right w:type="dxa" w:w="90"/>
            </w:tcMar>
          </w:tcPr>
          <w:p>
            <w:r>
              <w:rPr>
                <w:rFonts w:ascii="Georgia" w:cs="Georgia" w:eastAsia="Georgia" w:hAnsi="Georgia"/>
                <w:i/>
                <w:iCs/>
                <w:color w:val="065F46"/>
                <w:sz w:val="14"/>
                <w:szCs w:val="14"/>
              </w:rPr>
              <w:t xml:space="preserve">Risk register serving ISO 27001, POJK 21, and UU PDP simultaneously. SoA with regulatory mapping column. PIA template.</w:t>
            </w:r>
          </w:p>
        </w:tc>
      </w:tr>
      <w:tr>
        <w:tc>
          <w:tcPr>
            <w:tcW w:type="auto" w:w="176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7"/>
                <w:szCs w:val="17"/>
              </w:rPr>
              <w:t xml:space="preserve">Month 6–9: Control Implementation</w:t>
            </w:r>
          </w:p>
        </w:tc>
        <w:tc>
          <w:tcPr>
            <w:tcW w:type="auto" w:w="1480"/>
            <w:tcBorders>
              <w:top w:val="single" w:color="DBEAFE" w:sz="1"/>
              <w:left w:val="single" w:color="DBEAFE" w:sz="1"/>
              <w:bottom w:val="single" w:color="DBEAFE" w:sz="1"/>
              <w:right w:val="single" w:color="DBEAFE" w:sz="1"/>
            </w:tcBorders>
            <w:shd w:fill="EBF2FB" w:val="clear"/>
            <w:tcMar>
              <w:top w:type="dxa" w:w="110"/>
              <w:left w:type="dxa" w:w="90"/>
              <w:bottom w:type="dxa" w:w="110"/>
              <w:right w:type="dxa" w:w="90"/>
            </w:tcMar>
          </w:tcPr>
          <w:p>
            <w:r>
              <w:rPr>
                <w:rFonts w:ascii="Georgia" w:cs="Georgia" w:eastAsia="Georgia" w:hAnsi="Georgia"/>
                <w:color w:val="1B3A5C"/>
                <w:sz w:val="15"/>
                <w:szCs w:val="15"/>
              </w:rPr>
              <w:t xml:space="preserve">Technical controls deployed (MFA, DLP, encryption, access controls, monitoring). Policies and procedures completed. Staff awareness training delivered.</w:t>
            </w:r>
          </w:p>
        </w:tc>
        <w:tc>
          <w:tcPr>
            <w:tcW w:type="auto" w:w="1480"/>
            <w:tcBorders>
              <w:top w:val="single" w:color="DBEAFE" w:sz="1"/>
              <w:left w:val="single" w:color="DBEAFE" w:sz="1"/>
              <w:bottom w:val="single" w:color="DBEAFE" w:sz="1"/>
              <w:right w:val="single" w:color="DBEAFE" w:sz="1"/>
            </w:tcBorders>
            <w:shd w:fill="F0FDFA" w:val="clear"/>
            <w:tcMar>
              <w:top w:type="dxa" w:w="110"/>
              <w:left w:type="dxa" w:w="90"/>
              <w:bottom w:type="dxa" w:w="110"/>
              <w:right w:type="dxa" w:w="90"/>
            </w:tcMar>
          </w:tcPr>
          <w:p>
            <w:r>
              <w:rPr>
                <w:rFonts w:ascii="Georgia" w:cs="Georgia" w:eastAsia="Georgia" w:hAnsi="Georgia"/>
                <w:color w:val="0F766E"/>
                <w:sz w:val="15"/>
                <w:szCs w:val="15"/>
              </w:rPr>
              <w:t xml:space="preserve">DPAs executed with all personal data processors. Consent management implemented (where applicable). Data deletion procedure and schedule operational.</w:t>
            </w:r>
          </w:p>
        </w:tc>
        <w:tc>
          <w:tcPr>
            <w:tcW w:type="auto" w:w="1480"/>
            <w:tcBorders>
              <w:top w:val="single" w:color="DBEAFE" w:sz="1"/>
              <w:left w:val="single" w:color="DBEAFE" w:sz="1"/>
              <w:bottom w:val="single" w:color="DBEAFE" w:sz="1"/>
              <w:right w:val="single" w:color="DBEAFE" w:sz="1"/>
            </w:tcBorders>
            <w:shd w:fill="FFFBEB" w:val="clear"/>
            <w:tcMar>
              <w:top w:type="dxa" w:w="110"/>
              <w:left w:type="dxa" w:w="90"/>
              <w:bottom w:type="dxa" w:w="110"/>
              <w:right w:type="dxa" w:w="90"/>
            </w:tcMar>
          </w:tcPr>
          <w:p>
            <w:r>
              <w:rPr>
                <w:rFonts w:ascii="Georgia" w:cs="Georgia" w:eastAsia="Georgia" w:hAnsi="Georgia"/>
                <w:color w:val="B45309"/>
                <w:sz w:val="15"/>
                <w:szCs w:val="15"/>
              </w:rPr>
              <w:t xml:space="preserve">IT governance committee operational with documented meetings. OJK notification step added to incident procedure. BI 2-hour notification step added (if PSP). Data localization verified for Indonesian region.</w:t>
            </w:r>
          </w:p>
        </w:tc>
        <w:tc>
          <w:tcPr>
            <w:tcW w:type="auto" w:w="1480"/>
            <w:tcBorders>
              <w:top w:val="single" w:color="DBEAFE" w:sz="1"/>
              <w:left w:val="single" w:color="DBEAFE" w:sz="1"/>
              <w:bottom w:val="single" w:color="DBEAFE" w:sz="1"/>
              <w:right w:val="single" w:color="DBEAFE" w:sz="1"/>
            </w:tcBorders>
            <w:shd w:fill="FEF2F2" w:val="clear"/>
            <w:tcMar>
              <w:top w:type="dxa" w:w="110"/>
              <w:left w:type="dxa" w:w="90"/>
              <w:bottom w:type="dxa" w:w="110"/>
              <w:right w:type="dxa" w:w="90"/>
            </w:tcMar>
          </w:tcPr>
          <w:p>
            <w:r>
              <w:rPr>
                <w:rFonts w:ascii="Georgia" w:cs="Georgia" w:eastAsia="Georgia" w:hAnsi="Georgia"/>
                <w:color w:val="991B1B"/>
                <w:sz w:val="15"/>
                <w:szCs w:val="15"/>
              </w:rPr>
              <w:t xml:space="preserve">BSSN 24-hour incident notification step added. IT/OT DMZ implemented (if critical infrastructure). Medical device VLAN deployed (if healthcare).</w:t>
            </w:r>
          </w:p>
        </w:tc>
        <w:tc>
          <w:tcPr>
            <w:tcW w:type="auto" w:w="1680"/>
            <w:tcBorders>
              <w:top w:val="single" w:color="DBEAFE" w:sz="1"/>
              <w:left w:val="single" w:color="DBEAFE" w:sz="1"/>
              <w:bottom w:val="single" w:color="DBEAFE" w:sz="1"/>
              <w:right w:val="single" w:color="DBEAFE" w:sz="1"/>
            </w:tcBorders>
            <w:shd w:fill="ECFDF5" w:val="clear"/>
            <w:tcMar>
              <w:top w:type="dxa" w:w="110"/>
              <w:left w:type="dxa" w:w="90"/>
              <w:bottom w:type="dxa" w:w="110"/>
              <w:right w:type="dxa" w:w="90"/>
            </w:tcMar>
          </w:tcPr>
          <w:p>
            <w:r>
              <w:rPr>
                <w:rFonts w:ascii="Georgia" w:cs="Georgia" w:eastAsia="Georgia" w:hAnsi="Georgia"/>
                <w:i/>
                <w:iCs/>
                <w:color w:val="065F46"/>
                <w:sz w:val="14"/>
                <w:szCs w:val="14"/>
              </w:rPr>
              <w:t xml:space="preserve">Deployed controls with evidence. Single incident response procedure with all regulatory notification obligations. Supplier agreements with DPA and security addenda.</w:t>
            </w:r>
          </w:p>
        </w:tc>
      </w:tr>
      <w:tr>
        <w:tc>
          <w:tcPr>
            <w:tcW w:type="auto" w:w="176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7"/>
                <w:szCs w:val="17"/>
              </w:rPr>
              <w:t xml:space="preserve">Month 9–12: Assurance and Certification</w:t>
            </w:r>
          </w:p>
        </w:tc>
        <w:tc>
          <w:tcPr>
            <w:tcW w:type="auto" w:w="1480"/>
            <w:tcBorders>
              <w:top w:val="single" w:color="DBEAFE" w:sz="1"/>
              <w:left w:val="single" w:color="DBEAFE" w:sz="1"/>
              <w:bottom w:val="single" w:color="DBEAFE" w:sz="1"/>
              <w:right w:val="single" w:color="DBEAFE" w:sz="1"/>
            </w:tcBorders>
            <w:shd w:fill="F0F7FF" w:val="clear"/>
            <w:tcMar>
              <w:top w:type="dxa" w:w="110"/>
              <w:left w:type="dxa" w:w="90"/>
              <w:bottom w:type="dxa" w:w="110"/>
              <w:right w:type="dxa" w:w="90"/>
            </w:tcMar>
          </w:tcPr>
          <w:p>
            <w:r>
              <w:rPr>
                <w:rFonts w:ascii="Georgia" w:cs="Georgia" w:eastAsia="Georgia" w:hAnsi="Georgia"/>
                <w:color w:val="1B3A5C"/>
                <w:sz w:val="15"/>
                <w:szCs w:val="15"/>
              </w:rPr>
              <w:t xml:space="preserve">Internal audit (multi-framework scope), management review (multi-framework inputs), Stage 1 documentation package, Stage 2 audit</w:t>
            </w:r>
          </w:p>
        </w:tc>
        <w:tc>
          <w:tcPr>
            <w:tcW w:type="auto" w:w="1480"/>
            <w:tcBorders>
              <w:top w:val="single" w:color="DBEAFE" w:sz="1"/>
              <w:left w:val="single" w:color="DBEAFE" w:sz="1"/>
              <w:bottom w:val="single" w:color="DBEAFE" w:sz="1"/>
              <w:right w:val="single" w:color="DBEAFE" w:sz="1"/>
            </w:tcBorders>
            <w:shd w:fill="F0FDFA" w:val="clear"/>
            <w:tcMar>
              <w:top w:type="dxa" w:w="110"/>
              <w:left w:type="dxa" w:w="90"/>
              <w:bottom w:type="dxa" w:w="110"/>
              <w:right w:type="dxa" w:w="90"/>
            </w:tcMar>
          </w:tcPr>
          <w:p>
            <w:r>
              <w:rPr>
                <w:rFonts w:ascii="Georgia" w:cs="Georgia" w:eastAsia="Georgia" w:hAnsi="Georgia"/>
                <w:color w:val="0F766E"/>
                <w:sz w:val="15"/>
                <w:szCs w:val="15"/>
              </w:rPr>
              <w:t xml:space="preserve">Internal UU PDP compliance audit. RoPA finalized. DPO appointed (if applicable). KOMINFO registration (if required).</w:t>
            </w:r>
          </w:p>
        </w:tc>
        <w:tc>
          <w:tcPr>
            <w:tcW w:type="auto" w:w="1480"/>
            <w:tcBorders>
              <w:top w:val="single" w:color="DBEAFE" w:sz="1"/>
              <w:left w:val="single" w:color="DBEAFE" w:sz="1"/>
              <w:bottom w:val="single" w:color="DBEAFE" w:sz="1"/>
              <w:right w:val="single" w:color="DBEAFE" w:sz="1"/>
            </w:tcBorders>
            <w:shd w:fill="FFFDF5" w:val="clear"/>
            <w:tcMar>
              <w:top w:type="dxa" w:w="110"/>
              <w:left w:type="dxa" w:w="90"/>
              <w:bottom w:type="dxa" w:w="110"/>
              <w:right w:type="dxa" w:w="90"/>
            </w:tcMar>
          </w:tcPr>
          <w:p>
            <w:r>
              <w:rPr>
                <w:rFonts w:ascii="Georgia" w:cs="Georgia" w:eastAsia="Georgia" w:hAnsi="Georgia"/>
                <w:color w:val="B45309"/>
                <w:sz w:val="15"/>
                <w:szCs w:val="15"/>
              </w:rPr>
              <w:t xml:space="preserve">Board IT risk reporting operational. IT audit report covers POJK 11 scope. OJK/BI examination evidence package organized.</w:t>
            </w:r>
          </w:p>
        </w:tc>
        <w:tc>
          <w:tcPr>
            <w:tcW w:type="auto" w:w="1480"/>
            <w:tcBorders>
              <w:top w:val="single" w:color="DBEAFE" w:sz="1"/>
              <w:left w:val="single" w:color="DBEAFE" w:sz="1"/>
              <w:bottom w:val="single" w:color="DBEAFE" w:sz="1"/>
              <w:right w:val="single" w:color="DBEAFE" w:sz="1"/>
            </w:tcBorders>
            <w:shd w:fill="FFF5F5" w:val="clear"/>
            <w:tcMar>
              <w:top w:type="dxa" w:w="110"/>
              <w:left w:type="dxa" w:w="90"/>
              <w:bottom w:type="dxa" w:w="110"/>
              <w:right w:type="dxa" w:w="90"/>
            </w:tcMar>
          </w:tcPr>
          <w:p>
            <w:r>
              <w:rPr>
                <w:rFonts w:ascii="Georgia" w:cs="Georgia" w:eastAsia="Georgia" w:hAnsi="Georgia"/>
                <w:color w:val="991B1B"/>
                <w:sz w:val="15"/>
                <w:szCs w:val="15"/>
              </w:rPr>
              <w:t xml:space="preserve">BSSN cybersecurity assessment preparation (if applicable). Critical infrastructure protection plan documented.</w:t>
            </w:r>
          </w:p>
        </w:tc>
        <w:tc>
          <w:tcPr>
            <w:tcW w:type="auto" w:w="1680"/>
            <w:tcBorders>
              <w:top w:val="single" w:color="DBEAFE" w:sz="1"/>
              <w:left w:val="single" w:color="DBEAFE" w:sz="1"/>
              <w:bottom w:val="single" w:color="DBEAFE" w:sz="1"/>
              <w:right w:val="single" w:color="DBEAFE" w:sz="1"/>
            </w:tcBorders>
            <w:shd w:fill="ECFDF5" w:val="clear"/>
            <w:tcMar>
              <w:top w:type="dxa" w:w="110"/>
              <w:left w:type="dxa" w:w="90"/>
              <w:bottom w:type="dxa" w:w="110"/>
              <w:right w:type="dxa" w:w="90"/>
            </w:tcMar>
          </w:tcPr>
          <w:p>
            <w:r>
              <w:rPr>
                <w:rFonts w:ascii="Georgia" w:cs="Georgia" w:eastAsia="Georgia" w:hAnsi="Georgia"/>
                <w:i/>
                <w:iCs/>
                <w:color w:val="065F46"/>
                <w:sz w:val="14"/>
                <w:szCs w:val="14"/>
              </w:rPr>
              <w:t xml:space="preserve">ISO 27001 certificate. Internal audit report serving multiple regulatory purposes. Regulatory examination evidence packages. Multi-framework compliance dashboard.</w:t>
            </w:r>
          </w:p>
        </w:tc>
      </w:tr>
    </w:tbl>
    <w:p>
      <w:pPr>
        <w:spacing w:after="160"/>
      </w:pPr>
      <w:r>
        <w:t xml:space="preserve"/>
      </w:r>
    </w:p>
    <w:p>
      <w:pPr>
        <w:spacing w:after="160" w:line="320"/>
        <w:jc w:val="both"/>
      </w:pPr>
      <w:r>
        <w:rPr>
          <w:rFonts w:ascii="Georgia" w:cs="Georgia" w:eastAsia="Georgia" w:hAnsi="Georgia"/>
          <w:color w:val="111827"/>
          <w:sz w:val="22"/>
          <w:szCs w:val="22"/>
        </w:rPr>
        <w:t xml:space="preserve">The integrated roadmap produces approximately 30–40% efficiency gain over running four separate compliance programs. The primary source of efficiency is the shared output column — artifacts that serve multiple frameworks simultaneously. The IS Policy (serves all four), the risk register (serves ISO 27001, UU PDP, POJK 21, and BI simultaneously), the incident response procedure (serves all four with one notification decision tree), and the internal audit report (serves ISO 27001 and POJK 11) account for the majority of the efficiency gain.</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Compliance Efficiency Scorecard</w:t>
      </w:r>
    </w:p>
    <w:p>
      <w:pPr>
        <w:spacing w:after="80"/>
      </w:pPr>
      <w:r>
        <w:t xml:space="preserve"/>
      </w:r>
    </w:p>
    <w:p>
      <w:pPr>
        <w:spacing w:after="160" w:line="320"/>
        <w:jc w:val="both"/>
      </w:pPr>
      <w:r>
        <w:rPr>
          <w:rFonts w:ascii="Georgia" w:cs="Georgia" w:eastAsia="Georgia" w:hAnsi="Georgia"/>
          <w:color w:val="111827"/>
          <w:sz w:val="22"/>
          <w:szCs w:val="22"/>
        </w:rPr>
        <w:t xml:space="preserve">The scorecard below maps the six core ISMS artifacts to the four Indonesian regulatory frameworks they serve — showing explicitly where one document, one process, or one governance activity satisfies multiple requirements simultaneously. This scorecard is the business case for the integrated approach:</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1440"/>
        <w:gridCol w:w="1440"/>
        <w:gridCol w:w="1440"/>
        <w:gridCol w:w="1440"/>
        <w:gridCol w:w="1200"/>
        <w:gridCol w:w="960"/>
      </w:tblGrid>
      <w:tr>
        <w:tc>
          <w:tcPr>
            <w:tcW w:type="dxa" w:w="140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6"/>
                <w:szCs w:val="16"/>
              </w:rPr>
              <w:t xml:space="preserve">ISMS artifact</w:t>
            </w:r>
          </w:p>
        </w:tc>
        <w:tc>
          <w:tcPr>
            <w:tcW w:type="dxa" w:w="144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r>
              <w:rPr>
                <w:rFonts w:ascii="Arial" w:cs="Arial" w:eastAsia="Arial" w:hAnsi="Arial"/>
                <w:b/>
                <w:bCs/>
                <w:color w:val="FFFFFF"/>
                <w:sz w:val="16"/>
                <w:szCs w:val="16"/>
              </w:rPr>
              <w:t xml:space="preserve">ISO 27001</w:t>
            </w:r>
          </w:p>
        </w:tc>
        <w:tc>
          <w:tcPr>
            <w:tcW w:type="dxa" w:w="1440"/>
            <w:tcBorders>
              <w:top w:val="single" w:color="DBEAFE" w:sz="1"/>
              <w:left w:val="single" w:color="DBEAFE" w:sz="1"/>
              <w:bottom w:val="single" w:color="DBEAFE" w:sz="1"/>
              <w:right w:val="single" w:color="DBEAFE" w:sz="1"/>
            </w:tcBorders>
            <w:shd w:fill="0F766E" w:val="clear"/>
            <w:tcMar>
              <w:top w:type="dxa" w:w="90"/>
              <w:left w:type="dxa" w:w="100"/>
              <w:bottom w:type="dxa" w:w="90"/>
              <w:right w:type="dxa" w:w="100"/>
            </w:tcMar>
          </w:tcPr>
          <w:p>
            <w:r>
              <w:rPr>
                <w:rFonts w:ascii="Arial" w:cs="Arial" w:eastAsia="Arial" w:hAnsi="Arial"/>
                <w:b/>
                <w:bCs/>
                <w:color w:val="FFFFFF"/>
                <w:sz w:val="16"/>
                <w:szCs w:val="16"/>
              </w:rPr>
              <w:t xml:space="preserve">UU PDP</w:t>
            </w:r>
          </w:p>
        </w:tc>
        <w:tc>
          <w:tcPr>
            <w:tcW w:type="dxa" w:w="1440"/>
            <w:tcBorders>
              <w:top w:val="single" w:color="DBEAFE" w:sz="1"/>
              <w:left w:val="single" w:color="DBEAFE" w:sz="1"/>
              <w:bottom w:val="single" w:color="DBEAFE" w:sz="1"/>
              <w:right w:val="single" w:color="DBEAFE" w:sz="1"/>
            </w:tcBorders>
            <w:shd w:fill="3730A3" w:val="clear"/>
            <w:tcMar>
              <w:top w:type="dxa" w:w="90"/>
              <w:left w:type="dxa" w:w="100"/>
              <w:bottom w:type="dxa" w:w="90"/>
              <w:right w:type="dxa" w:w="100"/>
            </w:tcMar>
          </w:tcPr>
          <w:p>
            <w:r>
              <w:rPr>
                <w:rFonts w:ascii="Arial" w:cs="Arial" w:eastAsia="Arial" w:hAnsi="Arial"/>
                <w:b/>
                <w:bCs/>
                <w:color w:val="FFFFFF"/>
                <w:sz w:val="16"/>
                <w:szCs w:val="16"/>
              </w:rPr>
              <w:t xml:space="preserve">POJK/OJK</w:t>
            </w:r>
          </w:p>
        </w:tc>
        <w:tc>
          <w:tcPr>
            <w:tcW w:type="dxa" w:w="1440"/>
            <w:tcBorders>
              <w:top w:val="single" w:color="DBEAFE" w:sz="1"/>
              <w:left w:val="single" w:color="DBEAFE" w:sz="1"/>
              <w:bottom w:val="single" w:color="DBEAFE" w:sz="1"/>
              <w:right w:val="single" w:color="DBEAFE" w:sz="1"/>
            </w:tcBorders>
            <w:shd w:fill="6D28D9" w:val="clear"/>
            <w:tcMar>
              <w:top w:type="dxa" w:w="90"/>
              <w:left w:type="dxa" w:w="100"/>
              <w:bottom w:type="dxa" w:w="90"/>
              <w:right w:type="dxa" w:w="100"/>
            </w:tcMar>
          </w:tcPr>
          <w:p>
            <w:r>
              <w:rPr>
                <w:rFonts w:ascii="Arial" w:cs="Arial" w:eastAsia="Arial" w:hAnsi="Arial"/>
                <w:b/>
                <w:bCs/>
                <w:color w:val="FFFFFF"/>
                <w:sz w:val="16"/>
                <w:szCs w:val="16"/>
              </w:rPr>
              <w:t xml:space="preserve">BI/PBI</w:t>
            </w:r>
          </w:p>
        </w:tc>
        <w:tc>
          <w:tcPr>
            <w:tcW w:type="dxa" w:w="1200"/>
            <w:tcBorders>
              <w:top w:val="single" w:color="DBEAFE" w:sz="1"/>
              <w:left w:val="single" w:color="DBEAFE" w:sz="1"/>
              <w:bottom w:val="single" w:color="DBEAFE" w:sz="1"/>
              <w:right w:val="single" w:color="DBEAFE" w:sz="1"/>
            </w:tcBorders>
            <w:shd w:fill="065F46" w:val="clear"/>
            <w:tcMar>
              <w:top w:type="dxa" w:w="90"/>
              <w:left w:type="dxa" w:w="100"/>
              <w:bottom w:type="dxa" w:w="90"/>
              <w:right w:type="dxa" w:w="100"/>
            </w:tcMar>
          </w:tcPr>
          <w:p>
            <w:r>
              <w:rPr>
                <w:rFonts w:ascii="Arial" w:cs="Arial" w:eastAsia="Arial" w:hAnsi="Arial"/>
                <w:b/>
                <w:bCs/>
                <w:color w:val="FFFFFF"/>
                <w:sz w:val="16"/>
                <w:szCs w:val="16"/>
              </w:rPr>
              <w:t xml:space="preserve">Single doc possible?</w:t>
            </w:r>
          </w:p>
        </w:tc>
        <w:tc>
          <w:tcPr>
            <w:tcW w:type="dxa" w:w="960"/>
            <w:tcBorders>
              <w:top w:val="single" w:color="DBEAFE" w:sz="1"/>
              <w:left w:val="single" w:color="DBEAFE" w:sz="1"/>
              <w:bottom w:val="single" w:color="DBEAFE" w:sz="1"/>
              <w:right w:val="single" w:color="DBEAFE" w:sz="1"/>
            </w:tcBorders>
            <w:shd w:fill="0E9F6E" w:val="clear"/>
            <w:tcMar>
              <w:top w:type="dxa" w:w="90"/>
              <w:left w:type="dxa" w:w="100"/>
              <w:bottom w:type="dxa" w:w="90"/>
              <w:right w:type="dxa" w:w="100"/>
            </w:tcMar>
          </w:tcPr>
          <w:p>
            <w:r>
              <w:rPr>
                <w:rFonts w:ascii="Arial" w:cs="Arial" w:eastAsia="Arial" w:hAnsi="Arial"/>
                <w:b/>
                <w:bCs/>
                <w:color w:val="FFFFFF"/>
                <w:sz w:val="16"/>
                <w:szCs w:val="16"/>
              </w:rPr>
              <w:t xml:space="preserve">Efficiency</w:t>
            </w:r>
          </w:p>
        </w:tc>
      </w:tr>
      <w:tr>
        <w:tc>
          <w:tcPr>
            <w:tcW w:type="auto" w:w="1400"/>
            <w:tcBorders>
              <w:top w:val="single" w:color="DBEAFE" w:sz="1"/>
              <w:left w:val="single" w:color="DBEAFE" w:sz="1"/>
              <w:bottom w:val="single" w:color="DBEAFE" w:sz="1"/>
              <w:right w:val="single" w:color="DBEAFE" w:sz="1"/>
            </w:tcBorders>
            <w:shd w:fill="1B3A5C" w:val="clear"/>
            <w:tcMar>
              <w:top w:type="dxa" w:w="100"/>
              <w:left w:type="dxa" w:w="100"/>
              <w:bottom w:type="dxa" w:w="100"/>
              <w:right w:type="dxa" w:w="100"/>
            </w:tcMar>
          </w:tcPr>
          <w:p>
            <w:r>
              <w:rPr>
                <w:rFonts w:ascii="Arial" w:cs="Arial" w:eastAsia="Arial" w:hAnsi="Arial"/>
                <w:b/>
                <w:bCs/>
                <w:color w:val="FFFFFF"/>
                <w:sz w:val="16"/>
                <w:szCs w:val="16"/>
              </w:rPr>
              <w:t xml:space="preserve">IS Policy</w:t>
            </w:r>
          </w:p>
        </w:tc>
        <w:tc>
          <w:tcPr>
            <w:tcW w:type="auto" w:w="1440"/>
            <w:tcBorders>
              <w:top w:val="single" w:color="DBEAFE" w:sz="1"/>
              <w:left w:val="single" w:color="DBEAFE" w:sz="1"/>
              <w:bottom w:val="single" w:color="DBEAFE" w:sz="1"/>
              <w:right w:val="single" w:color="DBEAFE" w:sz="1"/>
            </w:tcBorders>
            <w:shd w:fill="EBF2FB" w:val="clear"/>
            <w:tcMar>
              <w:top w:type="dxa" w:w="100"/>
              <w:left w:type="dxa" w:w="90"/>
              <w:bottom w:type="dxa" w:w="100"/>
              <w:right w:type="dxa" w:w="90"/>
            </w:tcMar>
          </w:tcPr>
          <w:p>
            <w:r>
              <w:rPr>
                <w:rFonts w:ascii="Georgia" w:cs="Georgia" w:eastAsia="Georgia" w:hAnsi="Georgia"/>
                <w:color w:val="1B3A5C"/>
                <w:sz w:val="14"/>
                <w:szCs w:val="14"/>
              </w:rPr>
              <w:t xml:space="preserve">Required — Clause 5.2. CEO approved. Risk appetite. Commitments to ISMS objectives.</w:t>
            </w:r>
          </w:p>
        </w:tc>
        <w:tc>
          <w:tcPr>
            <w:tcW w:type="auto" w:w="1440"/>
            <w:tcBorders>
              <w:top w:val="single" w:color="DBEAFE" w:sz="1"/>
              <w:left w:val="single" w:color="DBEAFE" w:sz="1"/>
              <w:bottom w:val="single" w:color="DBEAFE" w:sz="1"/>
              <w:right w:val="single" w:color="DBEAFE" w:sz="1"/>
            </w:tcBorders>
            <w:shd w:fill="F0FDFA" w:val="clear"/>
            <w:tcMar>
              <w:top w:type="dxa" w:w="100"/>
              <w:left w:type="dxa" w:w="90"/>
              <w:bottom w:type="dxa" w:w="100"/>
              <w:right w:type="dxa" w:w="90"/>
            </w:tcMar>
          </w:tcPr>
          <w:p>
            <w:r>
              <w:rPr>
                <w:rFonts w:ascii="Georgia" w:cs="Georgia" w:eastAsia="Georgia" w:hAnsi="Georgia"/>
                <w:color w:val="0F766E"/>
                <w:sz w:val="14"/>
                <w:szCs w:val="14"/>
              </w:rPr>
              <w:t xml:space="preserve">Privacy policy foundation. Must reference UU PDP Art. 35 (technical measures) and Art. 46 (breach notification commitment).</w:t>
            </w:r>
          </w:p>
        </w:tc>
        <w:tc>
          <w:tcPr>
            <w:tcW w:type="auto" w:w="144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4"/>
                <w:szCs w:val="14"/>
              </w:rPr>
              <w:t xml:space="preserve">IT governance policy under POJK 11. Board approved. References IT risk appetite per POJK 21.</w:t>
            </w:r>
          </w:p>
        </w:tc>
        <w:tc>
          <w:tcPr>
            <w:tcW w:type="auto" w:w="144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r>
              <w:rPr>
                <w:rFonts w:ascii="Georgia" w:cs="Georgia" w:eastAsia="Georgia" w:hAnsi="Georgia"/>
                <w:color w:val="334155"/>
                <w:sz w:val="14"/>
                <w:szCs w:val="14"/>
              </w:rPr>
              <w:t xml:space="preserve">Payment security policy for PSPs under PBI 23.</w:t>
            </w:r>
          </w:p>
        </w:tc>
        <w:tc>
          <w:tcPr>
            <w:tcW w:type="auto" w:w="12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4"/>
                <w:szCs w:val="14"/>
              </w:rPr>
              <w:t xml:space="preserve">Yes — one IS Policy serves all four frameworks when structured with regulatory references per section. Estimated efficiency gain: build once, review once annually.</w:t>
            </w:r>
          </w:p>
        </w:tc>
        <w:tc>
          <w:tcPr>
            <w:tcW w:type="auto" w:w="960"/>
            <w:tcBorders>
              <w:top w:val="single" w:color="DBEAFE" w:sz="1"/>
              <w:left w:val="single" w:color="DBEAFE" w:sz="1"/>
              <w:bottom w:val="single" w:color="DBEAFE" w:sz="1"/>
              <w:right w:val="single" w:color="DBEAFE" w:sz="1"/>
            </w:tcBorders>
            <w:shd w:fill="EEF2FF" w:val="clear"/>
            <w:tcMar>
              <w:top w:type="dxa" w:w="100"/>
              <w:left w:type="dxa" w:w="70"/>
              <w:bottom w:type="dxa" w:w="100"/>
              <w:right w:type="dxa" w:w="70"/>
            </w:tcMar>
          </w:tcPr>
          <w:p>
            <w:pPr>
              <w:jc w:val="center"/>
            </w:pPr>
            <w:r>
              <w:rPr>
                <w:rFonts w:ascii="Arial" w:cs="Arial" w:eastAsia="Arial" w:hAnsi="Arial"/>
                <w:b/>
                <w:bCs/>
                <w:color w:val="3730A3"/>
                <w:sz w:val="13"/>
                <w:szCs w:val="13"/>
              </w:rPr>
              <w:t xml:space="preserve">One document replaces four</w:t>
            </w:r>
          </w:p>
        </w:tc>
      </w:tr>
      <w:tr>
        <w:tc>
          <w:tcPr>
            <w:tcW w:type="auto" w:w="1400"/>
            <w:tcBorders>
              <w:top w:val="single" w:color="DBEAFE" w:sz="1"/>
              <w:left w:val="single" w:color="DBEAFE" w:sz="1"/>
              <w:bottom w:val="single" w:color="DBEAFE" w:sz="1"/>
              <w:right w:val="single" w:color="DBEAFE" w:sz="1"/>
            </w:tcBorders>
            <w:shd w:fill="2563A8" w:val="clear"/>
            <w:tcMar>
              <w:top w:type="dxa" w:w="100"/>
              <w:left w:type="dxa" w:w="100"/>
              <w:bottom w:type="dxa" w:w="100"/>
              <w:right w:type="dxa" w:w="100"/>
            </w:tcMar>
          </w:tcPr>
          <w:p>
            <w:r>
              <w:rPr>
                <w:rFonts w:ascii="Arial" w:cs="Arial" w:eastAsia="Arial" w:hAnsi="Arial"/>
                <w:b/>
                <w:bCs/>
                <w:color w:val="FFFFFF"/>
                <w:sz w:val="16"/>
                <w:szCs w:val="16"/>
              </w:rPr>
              <w:t xml:space="preserve">Risk Register</w:t>
            </w:r>
          </w:p>
        </w:tc>
        <w:tc>
          <w:tcPr>
            <w:tcW w:type="auto" w:w="1440"/>
            <w:tcBorders>
              <w:top w:val="single" w:color="DBEAFE" w:sz="1"/>
              <w:left w:val="single" w:color="DBEAFE" w:sz="1"/>
              <w:bottom w:val="single" w:color="DBEAFE" w:sz="1"/>
              <w:right w:val="single" w:color="DBEAFE" w:sz="1"/>
            </w:tcBorders>
            <w:shd w:fill="F0F7FF" w:val="clear"/>
            <w:tcMar>
              <w:top w:type="dxa" w:w="100"/>
              <w:left w:type="dxa" w:w="90"/>
              <w:bottom w:type="dxa" w:w="100"/>
              <w:right w:type="dxa" w:w="90"/>
            </w:tcMar>
          </w:tcPr>
          <w:p>
            <w:r>
              <w:rPr>
                <w:rFonts w:ascii="Georgia" w:cs="Georgia" w:eastAsia="Georgia" w:hAnsi="Georgia"/>
                <w:color w:val="1B3A5C"/>
                <w:sz w:val="14"/>
                <w:szCs w:val="14"/>
              </w:rPr>
              <w:t xml:space="preserve">Required — Clause 6.1.2. Asset-threat-vulnerability methodology. CIA impact. Risk owner. Treatment.</w:t>
            </w:r>
          </w:p>
        </w:tc>
        <w:tc>
          <w:tcPr>
            <w:tcW w:type="auto" w:w="1440"/>
            <w:tcBorders>
              <w:top w:val="single" w:color="DBEAFE" w:sz="1"/>
              <w:left w:val="single" w:color="DBEAFE" w:sz="1"/>
              <w:bottom w:val="single" w:color="DBEAFE" w:sz="1"/>
              <w:right w:val="single" w:color="DBEAFE" w:sz="1"/>
            </w:tcBorders>
            <w:shd w:fill="F0FDFA" w:val="clear"/>
            <w:tcMar>
              <w:top w:type="dxa" w:w="100"/>
              <w:left w:type="dxa" w:w="90"/>
              <w:bottom w:type="dxa" w:w="100"/>
              <w:right w:type="dxa" w:w="90"/>
            </w:tcMar>
          </w:tcPr>
          <w:p>
            <w:r>
              <w:rPr>
                <w:rFonts w:ascii="Georgia" w:cs="Georgia" w:eastAsia="Georgia" w:hAnsi="Georgia"/>
                <w:color w:val="0F766E"/>
                <w:sz w:val="14"/>
                <w:szCs w:val="14"/>
              </w:rPr>
              <w:t xml:space="preserve">Risk-based accountability (Art. 35). Privacy risks to data subjects as impact dimension. PIA trigger assessment.</w:t>
            </w:r>
          </w:p>
        </w:tc>
        <w:tc>
          <w:tcPr>
            <w:tcW w:type="auto" w:w="1440"/>
            <w:tcBorders>
              <w:top w:val="single" w:color="DBEAFE" w:sz="1"/>
              <w:left w:val="single" w:color="DBEAFE" w:sz="1"/>
              <w:bottom w:val="single" w:color="DBEAFE" w:sz="1"/>
              <w:right w:val="single" w:color="DBEAFE" w:sz="1"/>
            </w:tcBorders>
            <w:shd w:fill="FFFDF5" w:val="clear"/>
            <w:tcMar>
              <w:top w:type="dxa" w:w="100"/>
              <w:left w:type="dxa" w:w="90"/>
              <w:bottom w:type="dxa" w:w="100"/>
              <w:right w:type="dxa" w:w="90"/>
            </w:tcMar>
          </w:tcPr>
          <w:p>
            <w:r>
              <w:rPr>
                <w:rFonts w:ascii="Georgia" w:cs="Georgia" w:eastAsia="Georgia" w:hAnsi="Georgia"/>
                <w:color w:val="B45309"/>
                <w:sz w:val="14"/>
                <w:szCs w:val="14"/>
              </w:rPr>
              <w:t xml:space="preserve">IT risk register under POJK 21. Risk categories: operational, legal, strategic, reputational. Board risk reporting.</w:t>
            </w:r>
          </w:p>
        </w:tc>
        <w:tc>
          <w:tcPr>
            <w:tcW w:type="auto" w:w="1440"/>
            <w:tcBorders>
              <w:top w:val="single" w:color="DBEAFE" w:sz="1"/>
              <w:left w:val="single" w:color="DBEAFE" w:sz="1"/>
              <w:bottom w:val="single" w:color="DBEAFE" w:sz="1"/>
              <w:right w:val="single" w:color="DBEAFE" w:sz="1"/>
            </w:tcBorders>
            <w:shd w:fill="FFFFFF" w:val="clear"/>
            <w:tcMar>
              <w:top w:type="dxa" w:w="100"/>
              <w:left w:type="dxa" w:w="90"/>
              <w:bottom w:type="dxa" w:w="100"/>
              <w:right w:type="dxa" w:w="90"/>
            </w:tcMar>
          </w:tcPr>
          <w:p>
            <w:r>
              <w:rPr>
                <w:rFonts w:ascii="Georgia" w:cs="Georgia" w:eastAsia="Georgia" w:hAnsi="Georgia"/>
                <w:color w:val="334155"/>
                <w:sz w:val="14"/>
                <w:szCs w:val="14"/>
              </w:rPr>
              <w:t xml:space="preserve">IT risk framework for PSPs. Payment system risks. Operational risk metrics.</w:t>
            </w:r>
          </w:p>
        </w:tc>
        <w:tc>
          <w:tcPr>
            <w:tcW w:type="auto" w:w="12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4"/>
                <w:szCs w:val="14"/>
              </w:rPr>
              <w:t xml:space="preserve">Yes — one risk register with additional columns: UU PDP data subject impact flag, POJK risk category tag, BI payment risk flag. Same risks, enriched with regulatory metadata.</w:t>
            </w:r>
          </w:p>
        </w:tc>
        <w:tc>
          <w:tcPr>
            <w:tcW w:type="auto" w:w="960"/>
            <w:tcBorders>
              <w:top w:val="single" w:color="DBEAFE" w:sz="1"/>
              <w:left w:val="single" w:color="DBEAFE" w:sz="1"/>
              <w:bottom w:val="single" w:color="DBEAFE" w:sz="1"/>
              <w:right w:val="single" w:color="DBEAFE" w:sz="1"/>
            </w:tcBorders>
            <w:shd w:fill="EEF2FF" w:val="clear"/>
            <w:tcMar>
              <w:top w:type="dxa" w:w="100"/>
              <w:left w:type="dxa" w:w="70"/>
              <w:bottom w:type="dxa" w:w="100"/>
              <w:right w:type="dxa" w:w="70"/>
            </w:tcMar>
          </w:tcPr>
          <w:p>
            <w:pPr>
              <w:jc w:val="center"/>
            </w:pPr>
            <w:r>
              <w:rPr>
                <w:rFonts w:ascii="Arial" w:cs="Arial" w:eastAsia="Arial" w:hAnsi="Arial"/>
                <w:b/>
                <w:bCs/>
                <w:color w:val="3730A3"/>
                <w:sz w:val="13"/>
                <w:szCs w:val="13"/>
              </w:rPr>
              <w:t xml:space="preserve">One register replaces four risk frameworks</w:t>
            </w:r>
          </w:p>
        </w:tc>
      </w:tr>
      <w:tr>
        <w:tc>
          <w:tcPr>
            <w:tcW w:type="auto" w:w="1400"/>
            <w:tcBorders>
              <w:top w:val="single" w:color="DBEAFE" w:sz="1"/>
              <w:left w:val="single" w:color="DBEAFE" w:sz="1"/>
              <w:bottom w:val="single" w:color="DBEAFE" w:sz="1"/>
              <w:right w:val="single" w:color="DBEAFE" w:sz="1"/>
            </w:tcBorders>
            <w:shd w:fill="0F766E" w:val="clear"/>
            <w:tcMar>
              <w:top w:type="dxa" w:w="100"/>
              <w:left w:type="dxa" w:w="100"/>
              <w:bottom w:type="dxa" w:w="100"/>
              <w:right w:type="dxa" w:w="100"/>
            </w:tcMar>
          </w:tcPr>
          <w:p>
            <w:r>
              <w:rPr>
                <w:rFonts w:ascii="Arial" w:cs="Arial" w:eastAsia="Arial" w:hAnsi="Arial"/>
                <w:b/>
                <w:bCs/>
                <w:color w:val="FFFFFF"/>
                <w:sz w:val="16"/>
                <w:szCs w:val="16"/>
              </w:rPr>
              <w:t xml:space="preserve">Internal Audit</w:t>
            </w:r>
          </w:p>
        </w:tc>
        <w:tc>
          <w:tcPr>
            <w:tcW w:type="auto" w:w="1440"/>
            <w:tcBorders>
              <w:top w:val="single" w:color="DBEAFE" w:sz="1"/>
              <w:left w:val="single" w:color="DBEAFE" w:sz="1"/>
              <w:bottom w:val="single" w:color="DBEAFE" w:sz="1"/>
              <w:right w:val="single" w:color="DBEAFE" w:sz="1"/>
            </w:tcBorders>
            <w:shd w:fill="EBF2FB" w:val="clear"/>
            <w:tcMar>
              <w:top w:type="dxa" w:w="100"/>
              <w:left w:type="dxa" w:w="90"/>
              <w:bottom w:type="dxa" w:w="100"/>
              <w:right w:type="dxa" w:w="90"/>
            </w:tcMar>
          </w:tcPr>
          <w:p>
            <w:r>
              <w:rPr>
                <w:rFonts w:ascii="Georgia" w:cs="Georgia" w:eastAsia="Georgia" w:hAnsi="Georgia"/>
                <w:color w:val="1B3A5C"/>
                <w:sz w:val="14"/>
                <w:szCs w:val="14"/>
              </w:rPr>
              <w:t xml:space="preserve">Required — Clause 9.2. Covers clauses 4–10 and applicable Annex A controls. Independent auditors.</w:t>
            </w:r>
          </w:p>
        </w:tc>
        <w:tc>
          <w:tcPr>
            <w:tcW w:type="auto" w:w="1440"/>
            <w:tcBorders>
              <w:top w:val="single" w:color="DBEAFE" w:sz="1"/>
              <w:left w:val="single" w:color="DBEAFE" w:sz="1"/>
              <w:bottom w:val="single" w:color="DBEAFE" w:sz="1"/>
              <w:right w:val="single" w:color="DBEAFE" w:sz="1"/>
            </w:tcBorders>
            <w:shd w:fill="F0FDFA" w:val="clear"/>
            <w:tcMar>
              <w:top w:type="dxa" w:w="100"/>
              <w:left w:type="dxa" w:w="90"/>
              <w:bottom w:type="dxa" w:w="100"/>
              <w:right w:type="dxa" w:w="90"/>
            </w:tcMar>
          </w:tcPr>
          <w:p>
            <w:r>
              <w:rPr>
                <w:rFonts w:ascii="Georgia" w:cs="Georgia" w:eastAsia="Georgia" w:hAnsi="Georgia"/>
                <w:color w:val="0F766E"/>
                <w:sz w:val="14"/>
                <w:szCs w:val="14"/>
              </w:rPr>
              <w:t xml:space="preserve">Accountability requirement. Internal audit should cover UU PDP obligations: RoPA currency, DPA completeness, rights procedure operationalization.</w:t>
            </w:r>
          </w:p>
        </w:tc>
        <w:tc>
          <w:tcPr>
            <w:tcW w:type="auto" w:w="144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4"/>
                <w:szCs w:val="14"/>
              </w:rPr>
              <w:t xml:space="preserve">Annual IT audit required by POJK 11. Scope: IT governance, IT risk, IS, availability, IT audit program quality.</w:t>
            </w:r>
          </w:p>
        </w:tc>
        <w:tc>
          <w:tcPr>
            <w:tcW w:type="auto" w:w="144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r>
              <w:rPr>
                <w:rFonts w:ascii="Georgia" w:cs="Georgia" w:eastAsia="Georgia" w:hAnsi="Georgia"/>
                <w:color w:val="334155"/>
                <w:sz w:val="14"/>
                <w:szCs w:val="14"/>
              </w:rPr>
              <w:t xml:space="preserve">BI supervisory examination readiness. Internal audit of PBI 23 controls.</w:t>
            </w:r>
          </w:p>
        </w:tc>
        <w:tc>
          <w:tcPr>
            <w:tcW w:type="auto" w:w="12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4"/>
                <w:szCs w:val="14"/>
              </w:rPr>
              <w:t xml:space="preserve">Yes — internal audit scope statement explicitly covers ISO 27001 and applicable POJK 11 / PBI 23 sections. Single audit report with dual classification: ISO 27001 clause finding + regulatory finding.</w:t>
            </w:r>
          </w:p>
        </w:tc>
        <w:tc>
          <w:tcPr>
            <w:tcW w:type="auto" w:w="960"/>
            <w:tcBorders>
              <w:top w:val="single" w:color="DBEAFE" w:sz="1"/>
              <w:left w:val="single" w:color="DBEAFE" w:sz="1"/>
              <w:bottom w:val="single" w:color="DBEAFE" w:sz="1"/>
              <w:right w:val="single" w:color="DBEAFE" w:sz="1"/>
            </w:tcBorders>
            <w:shd w:fill="EEF2FF" w:val="clear"/>
            <w:tcMar>
              <w:top w:type="dxa" w:w="100"/>
              <w:left w:type="dxa" w:w="70"/>
              <w:bottom w:type="dxa" w:w="100"/>
              <w:right w:type="dxa" w:w="70"/>
            </w:tcMar>
          </w:tcPr>
          <w:p>
            <w:pPr>
              <w:jc w:val="center"/>
            </w:pPr>
            <w:r>
              <w:rPr>
                <w:rFonts w:ascii="Arial" w:cs="Arial" w:eastAsia="Arial" w:hAnsi="Arial"/>
                <w:b/>
                <w:bCs/>
                <w:color w:val="3730A3"/>
                <w:sz w:val="13"/>
                <w:szCs w:val="13"/>
              </w:rPr>
              <w:t xml:space="preserve">One audit covers three compliance programs</w:t>
            </w:r>
          </w:p>
        </w:tc>
      </w:tr>
      <w:tr>
        <w:tc>
          <w:tcPr>
            <w:tcW w:type="auto" w:w="1400"/>
            <w:tcBorders>
              <w:top w:val="single" w:color="DBEAFE" w:sz="1"/>
              <w:left w:val="single" w:color="DBEAFE" w:sz="1"/>
              <w:bottom w:val="single" w:color="DBEAFE" w:sz="1"/>
              <w:right w:val="single" w:color="DBEAFE" w:sz="1"/>
            </w:tcBorders>
            <w:shd w:fill="3730A3" w:val="clear"/>
            <w:tcMar>
              <w:top w:type="dxa" w:w="100"/>
              <w:left w:type="dxa" w:w="100"/>
              <w:bottom w:type="dxa" w:w="100"/>
              <w:right w:type="dxa" w:w="100"/>
            </w:tcMar>
          </w:tcPr>
          <w:p>
            <w:r>
              <w:rPr>
                <w:rFonts w:ascii="Arial" w:cs="Arial" w:eastAsia="Arial" w:hAnsi="Arial"/>
                <w:b/>
                <w:bCs/>
                <w:color w:val="FFFFFF"/>
                <w:sz w:val="16"/>
                <w:szCs w:val="16"/>
              </w:rPr>
              <w:t xml:space="preserve">Management Review</w:t>
            </w:r>
          </w:p>
        </w:tc>
        <w:tc>
          <w:tcPr>
            <w:tcW w:type="auto" w:w="1440"/>
            <w:tcBorders>
              <w:top w:val="single" w:color="DBEAFE" w:sz="1"/>
              <w:left w:val="single" w:color="DBEAFE" w:sz="1"/>
              <w:bottom w:val="single" w:color="DBEAFE" w:sz="1"/>
              <w:right w:val="single" w:color="DBEAFE" w:sz="1"/>
            </w:tcBorders>
            <w:shd w:fill="F0F7FF" w:val="clear"/>
            <w:tcMar>
              <w:top w:type="dxa" w:w="100"/>
              <w:left w:type="dxa" w:w="90"/>
              <w:bottom w:type="dxa" w:w="100"/>
              <w:right w:type="dxa" w:w="90"/>
            </w:tcMar>
          </w:tcPr>
          <w:p>
            <w:r>
              <w:rPr>
                <w:rFonts w:ascii="Georgia" w:cs="Georgia" w:eastAsia="Georgia" w:hAnsi="Georgia"/>
                <w:color w:val="1B3A5C"/>
                <w:sz w:val="14"/>
                <w:szCs w:val="14"/>
              </w:rPr>
              <w:t xml:space="preserve">Required — Clause 9.3. Eight required inputs including audit results, risks, performance, improvements.</w:t>
            </w:r>
          </w:p>
        </w:tc>
        <w:tc>
          <w:tcPr>
            <w:tcW w:type="auto" w:w="1440"/>
            <w:tcBorders>
              <w:top w:val="single" w:color="DBEAFE" w:sz="1"/>
              <w:left w:val="single" w:color="DBEAFE" w:sz="1"/>
              <w:bottom w:val="single" w:color="DBEAFE" w:sz="1"/>
              <w:right w:val="single" w:color="DBEAFE" w:sz="1"/>
            </w:tcBorders>
            <w:shd w:fill="F0FDFA" w:val="clear"/>
            <w:tcMar>
              <w:top w:type="dxa" w:w="100"/>
              <w:left w:type="dxa" w:w="90"/>
              <w:bottom w:type="dxa" w:w="100"/>
              <w:right w:type="dxa" w:w="90"/>
            </w:tcMar>
          </w:tcPr>
          <w:p>
            <w:r>
              <w:rPr>
                <w:rFonts w:ascii="Georgia" w:cs="Georgia" w:eastAsia="Georgia" w:hAnsi="Georgia"/>
                <w:color w:val="0F766E"/>
                <w:sz w:val="14"/>
                <w:szCs w:val="14"/>
              </w:rPr>
              <w:t xml:space="preserve">UU PDP governance accountability. Privacy compliance status as management review input. DPO report (if applicable).</w:t>
            </w:r>
          </w:p>
        </w:tc>
        <w:tc>
          <w:tcPr>
            <w:tcW w:type="auto" w:w="1440"/>
            <w:tcBorders>
              <w:top w:val="single" w:color="DBEAFE" w:sz="1"/>
              <w:left w:val="single" w:color="DBEAFE" w:sz="1"/>
              <w:bottom w:val="single" w:color="DBEAFE" w:sz="1"/>
              <w:right w:val="single" w:color="DBEAFE" w:sz="1"/>
            </w:tcBorders>
            <w:shd w:fill="FFFDF5" w:val="clear"/>
            <w:tcMar>
              <w:top w:type="dxa" w:w="100"/>
              <w:left w:type="dxa" w:w="90"/>
              <w:bottom w:type="dxa" w:w="100"/>
              <w:right w:type="dxa" w:w="90"/>
            </w:tcMar>
          </w:tcPr>
          <w:p>
            <w:r>
              <w:rPr>
                <w:rFonts w:ascii="Georgia" w:cs="Georgia" w:eastAsia="Georgia" w:hAnsi="Georgia"/>
                <w:color w:val="B45309"/>
                <w:sz w:val="14"/>
                <w:szCs w:val="14"/>
              </w:rPr>
              <w:t xml:space="preserve">Board IT risk reporting per POJK 11/21. IT risk posture presented to board quarterly.</w:t>
            </w:r>
          </w:p>
        </w:tc>
        <w:tc>
          <w:tcPr>
            <w:tcW w:type="auto" w:w="1440"/>
            <w:tcBorders>
              <w:top w:val="single" w:color="DBEAFE" w:sz="1"/>
              <w:left w:val="single" w:color="DBEAFE" w:sz="1"/>
              <w:bottom w:val="single" w:color="DBEAFE" w:sz="1"/>
              <w:right w:val="single" w:color="DBEAFE" w:sz="1"/>
            </w:tcBorders>
            <w:shd w:fill="FFFFFF" w:val="clear"/>
            <w:tcMar>
              <w:top w:type="dxa" w:w="100"/>
              <w:left w:type="dxa" w:w="90"/>
              <w:bottom w:type="dxa" w:w="100"/>
              <w:right w:type="dxa" w:w="90"/>
            </w:tcMar>
          </w:tcPr>
          <w:p>
            <w:r>
              <w:rPr>
                <w:rFonts w:ascii="Georgia" w:cs="Georgia" w:eastAsia="Georgia" w:hAnsi="Georgia"/>
                <w:color w:val="334155"/>
                <w:sz w:val="14"/>
                <w:szCs w:val="14"/>
              </w:rPr>
              <w:t xml:space="preserve">BI availability and security performance review. Payment incident summary.</w:t>
            </w:r>
          </w:p>
        </w:tc>
        <w:tc>
          <w:tcPr>
            <w:tcW w:type="auto" w:w="12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4"/>
                <w:szCs w:val="14"/>
              </w:rPr>
              <w:t xml:space="preserve">Partially — ISO 27001 management review serves the ISMS requirement. Board-level IT risk reporting (POJK) may require a separate board format derived from management review data. Add UU PDP and BI compliance status as management review inputs.</w:t>
            </w:r>
          </w:p>
        </w:tc>
        <w:tc>
          <w:tcPr>
            <w:tcW w:type="auto" w:w="960"/>
            <w:tcBorders>
              <w:top w:val="single" w:color="DBEAFE" w:sz="1"/>
              <w:left w:val="single" w:color="DBEAFE" w:sz="1"/>
              <w:bottom w:val="single" w:color="DBEAFE" w:sz="1"/>
              <w:right w:val="single" w:color="DBEAFE" w:sz="1"/>
            </w:tcBorders>
            <w:shd w:fill="EEF2FF" w:val="clear"/>
            <w:tcMar>
              <w:top w:type="dxa" w:w="100"/>
              <w:left w:type="dxa" w:w="70"/>
              <w:bottom w:type="dxa" w:w="100"/>
              <w:right w:type="dxa" w:w="70"/>
            </w:tcMar>
          </w:tcPr>
          <w:p>
            <w:pPr>
              <w:jc w:val="center"/>
            </w:pPr>
            <w:r>
              <w:rPr>
                <w:rFonts w:ascii="Arial" w:cs="Arial" w:eastAsia="Arial" w:hAnsi="Arial"/>
                <w:b/>
                <w:bCs/>
                <w:color w:val="3730A3"/>
                <w:sz w:val="13"/>
                <w:szCs w:val="13"/>
              </w:rPr>
              <w:t xml:space="preserve">One review, board extract for POJK</w:t>
            </w:r>
          </w:p>
        </w:tc>
      </w:tr>
      <w:tr>
        <w:tc>
          <w:tcPr>
            <w:tcW w:type="auto" w:w="1400"/>
            <w:tcBorders>
              <w:top w:val="single" w:color="DBEAFE" w:sz="1"/>
              <w:left w:val="single" w:color="DBEAFE" w:sz="1"/>
              <w:bottom w:val="single" w:color="DBEAFE" w:sz="1"/>
              <w:right w:val="single" w:color="DBEAFE" w:sz="1"/>
            </w:tcBorders>
            <w:shd w:fill="6D28D9" w:val="clear"/>
            <w:tcMar>
              <w:top w:type="dxa" w:w="100"/>
              <w:left w:type="dxa" w:w="100"/>
              <w:bottom w:type="dxa" w:w="100"/>
              <w:right w:type="dxa" w:w="100"/>
            </w:tcMar>
          </w:tcPr>
          <w:p>
            <w:r>
              <w:rPr>
                <w:rFonts w:ascii="Arial" w:cs="Arial" w:eastAsia="Arial" w:hAnsi="Arial"/>
                <w:b/>
                <w:bCs/>
                <w:color w:val="FFFFFF"/>
                <w:sz w:val="16"/>
                <w:szCs w:val="16"/>
              </w:rPr>
              <w:t xml:space="preserve">Incident Response</w:t>
            </w:r>
          </w:p>
        </w:tc>
        <w:tc>
          <w:tcPr>
            <w:tcW w:type="auto" w:w="1440"/>
            <w:tcBorders>
              <w:top w:val="single" w:color="DBEAFE" w:sz="1"/>
              <w:left w:val="single" w:color="DBEAFE" w:sz="1"/>
              <w:bottom w:val="single" w:color="DBEAFE" w:sz="1"/>
              <w:right w:val="single" w:color="DBEAFE" w:sz="1"/>
            </w:tcBorders>
            <w:shd w:fill="EBF2FB" w:val="clear"/>
            <w:tcMar>
              <w:top w:type="dxa" w:w="100"/>
              <w:left w:type="dxa" w:w="90"/>
              <w:bottom w:type="dxa" w:w="100"/>
              <w:right w:type="dxa" w:w="90"/>
            </w:tcMar>
          </w:tcPr>
          <w:p>
            <w:r>
              <w:rPr>
                <w:rFonts w:ascii="Georgia" w:cs="Georgia" w:eastAsia="Georgia" w:hAnsi="Georgia"/>
                <w:color w:val="1B3A5C"/>
                <w:sz w:val="14"/>
                <w:szCs w:val="14"/>
              </w:rPr>
              <w:t xml:space="preserve">Required — 5.24–5.28. Planning, classification, response, learning, evidence.</w:t>
            </w:r>
          </w:p>
        </w:tc>
        <w:tc>
          <w:tcPr>
            <w:tcW w:type="auto" w:w="1440"/>
            <w:tcBorders>
              <w:top w:val="single" w:color="DBEAFE" w:sz="1"/>
              <w:left w:val="single" w:color="DBEAFE" w:sz="1"/>
              <w:bottom w:val="single" w:color="DBEAFE" w:sz="1"/>
              <w:right w:val="single" w:color="DBEAFE" w:sz="1"/>
            </w:tcBorders>
            <w:shd w:fill="F0FDFA" w:val="clear"/>
            <w:tcMar>
              <w:top w:type="dxa" w:w="100"/>
              <w:left w:type="dxa" w:w="90"/>
              <w:bottom w:type="dxa" w:w="100"/>
              <w:right w:type="dxa" w:w="90"/>
            </w:tcMar>
          </w:tcPr>
          <w:p>
            <w:r>
              <w:rPr>
                <w:rFonts w:ascii="Georgia" w:cs="Georgia" w:eastAsia="Georgia" w:hAnsi="Georgia"/>
                <w:color w:val="0F766E"/>
                <w:sz w:val="14"/>
                <w:szCs w:val="14"/>
              </w:rPr>
              <w:t xml:space="preserve">UU PDP Art. 46 — 14-day KOMINFO notification. Data subject notification if high risk.</w:t>
            </w:r>
          </w:p>
        </w:tc>
        <w:tc>
          <w:tcPr>
            <w:tcW w:type="auto" w:w="144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4"/>
                <w:szCs w:val="14"/>
              </w:rPr>
              <w:t xml:space="preserve">OJK notification 3×24 hours. OJK post-incident report within 14 days.</w:t>
            </w:r>
          </w:p>
        </w:tc>
        <w:tc>
          <w:tcPr>
            <w:tcW w:type="auto" w:w="144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r>
              <w:rPr>
                <w:rFonts w:ascii="Georgia" w:cs="Georgia" w:eastAsia="Georgia" w:hAnsi="Georgia"/>
                <w:color w:val="334155"/>
                <w:sz w:val="14"/>
                <w:szCs w:val="14"/>
              </w:rPr>
              <w:t xml:space="preserve">BI notification 2 hours (PSPs). BI post-incident report.</w:t>
            </w:r>
          </w:p>
        </w:tc>
        <w:tc>
          <w:tcPr>
            <w:tcW w:type="auto" w:w="12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4"/>
                <w:szCs w:val="14"/>
              </w:rPr>
              <w:t xml:space="preserve">Yes — one incident response procedure with a multi-regulator notification decision tree. Single incident record documents all notifications. One procedure tested in tabletop exercises across all regulatory scenarios.</w:t>
            </w:r>
          </w:p>
        </w:tc>
        <w:tc>
          <w:tcPr>
            <w:tcW w:type="auto" w:w="960"/>
            <w:tcBorders>
              <w:top w:val="single" w:color="DBEAFE" w:sz="1"/>
              <w:left w:val="single" w:color="DBEAFE" w:sz="1"/>
              <w:bottom w:val="single" w:color="DBEAFE" w:sz="1"/>
              <w:right w:val="single" w:color="DBEAFE" w:sz="1"/>
            </w:tcBorders>
            <w:shd w:fill="EEF2FF" w:val="clear"/>
            <w:tcMar>
              <w:top w:type="dxa" w:w="100"/>
              <w:left w:type="dxa" w:w="70"/>
              <w:bottom w:type="dxa" w:w="100"/>
              <w:right w:type="dxa" w:w="70"/>
            </w:tcMar>
          </w:tcPr>
          <w:p>
            <w:pPr>
              <w:jc w:val="center"/>
            </w:pPr>
            <w:r>
              <w:rPr>
                <w:rFonts w:ascii="Arial" w:cs="Arial" w:eastAsia="Arial" w:hAnsi="Arial"/>
                <w:b/>
                <w:bCs/>
                <w:color w:val="3730A3"/>
                <w:sz w:val="13"/>
                <w:szCs w:val="13"/>
              </w:rPr>
              <w:t xml:space="preserve">One procedure handles all notification obligations</w:t>
            </w:r>
          </w:p>
        </w:tc>
      </w:tr>
      <w:tr>
        <w:tc>
          <w:tcPr>
            <w:tcW w:type="auto" w:w="1400"/>
            <w:tcBorders>
              <w:top w:val="single" w:color="DBEAFE" w:sz="1"/>
              <w:left w:val="single" w:color="DBEAFE" w:sz="1"/>
              <w:bottom w:val="single" w:color="DBEAFE" w:sz="1"/>
              <w:right w:val="single" w:color="DBEAFE" w:sz="1"/>
            </w:tcBorders>
            <w:shd w:fill="B45309" w:val="clear"/>
            <w:tcMar>
              <w:top w:type="dxa" w:w="100"/>
              <w:left w:type="dxa" w:w="100"/>
              <w:bottom w:type="dxa" w:w="100"/>
              <w:right w:type="dxa" w:w="100"/>
            </w:tcMar>
          </w:tcPr>
          <w:p>
            <w:r>
              <w:rPr>
                <w:rFonts w:ascii="Arial" w:cs="Arial" w:eastAsia="Arial" w:hAnsi="Arial"/>
                <w:b/>
                <w:bCs/>
                <w:color w:val="FFFFFF"/>
                <w:sz w:val="16"/>
                <w:szCs w:val="16"/>
              </w:rPr>
              <w:t xml:space="preserve">Supplier Agreements</w:t>
            </w:r>
          </w:p>
        </w:tc>
        <w:tc>
          <w:tcPr>
            <w:tcW w:type="auto" w:w="1440"/>
            <w:tcBorders>
              <w:top w:val="single" w:color="DBEAFE" w:sz="1"/>
              <w:left w:val="single" w:color="DBEAFE" w:sz="1"/>
              <w:bottom w:val="single" w:color="DBEAFE" w:sz="1"/>
              <w:right w:val="single" w:color="DBEAFE" w:sz="1"/>
            </w:tcBorders>
            <w:shd w:fill="F0F7FF" w:val="clear"/>
            <w:tcMar>
              <w:top w:type="dxa" w:w="100"/>
              <w:left w:type="dxa" w:w="90"/>
              <w:bottom w:type="dxa" w:w="100"/>
              <w:right w:type="dxa" w:w="90"/>
            </w:tcMar>
          </w:tcPr>
          <w:p>
            <w:r>
              <w:rPr>
                <w:rFonts w:ascii="Georgia" w:cs="Georgia" w:eastAsia="Georgia" w:hAnsi="Georgia"/>
                <w:color w:val="1B3A5C"/>
                <w:sz w:val="14"/>
                <w:szCs w:val="14"/>
              </w:rPr>
              <w:t xml:space="preserve">Required — 5.19–5.22. Security requirements in supplier contracts. Monitoring. Exit strategy.</w:t>
            </w:r>
          </w:p>
        </w:tc>
        <w:tc>
          <w:tcPr>
            <w:tcW w:type="auto" w:w="1440"/>
            <w:tcBorders>
              <w:top w:val="single" w:color="DBEAFE" w:sz="1"/>
              <w:left w:val="single" w:color="DBEAFE" w:sz="1"/>
              <w:bottom w:val="single" w:color="DBEAFE" w:sz="1"/>
              <w:right w:val="single" w:color="DBEAFE" w:sz="1"/>
            </w:tcBorders>
            <w:shd w:fill="F0FDFA" w:val="clear"/>
            <w:tcMar>
              <w:top w:type="dxa" w:w="100"/>
              <w:left w:type="dxa" w:w="90"/>
              <w:bottom w:type="dxa" w:w="100"/>
              <w:right w:type="dxa" w:w="90"/>
            </w:tcMar>
          </w:tcPr>
          <w:p>
            <w:r>
              <w:rPr>
                <w:rFonts w:ascii="Georgia" w:cs="Georgia" w:eastAsia="Georgia" w:hAnsi="Georgia"/>
                <w:color w:val="0F766E"/>
                <w:sz w:val="14"/>
                <w:szCs w:val="14"/>
              </w:rPr>
              <w:t xml:space="preserve">UU PDP Art. 53 — DPA required for all personal data processors.</w:t>
            </w:r>
          </w:p>
        </w:tc>
        <w:tc>
          <w:tcPr>
            <w:tcW w:type="auto" w:w="1440"/>
            <w:tcBorders>
              <w:top w:val="single" w:color="DBEAFE" w:sz="1"/>
              <w:left w:val="single" w:color="DBEAFE" w:sz="1"/>
              <w:bottom w:val="single" w:color="DBEAFE" w:sz="1"/>
              <w:right w:val="single" w:color="DBEAFE" w:sz="1"/>
            </w:tcBorders>
            <w:shd w:fill="FFFDF5" w:val="clear"/>
            <w:tcMar>
              <w:top w:type="dxa" w:w="100"/>
              <w:left w:type="dxa" w:w="90"/>
              <w:bottom w:type="dxa" w:w="100"/>
              <w:right w:type="dxa" w:w="90"/>
            </w:tcMar>
          </w:tcPr>
          <w:p>
            <w:r>
              <w:rPr>
                <w:rFonts w:ascii="Georgia" w:cs="Georgia" w:eastAsia="Georgia" w:hAnsi="Georgia"/>
                <w:color w:val="B45309"/>
                <w:sz w:val="14"/>
                <w:szCs w:val="14"/>
              </w:rPr>
              <w:t xml:space="preserve">POJK 11 — security requirements in IT outsourcing contracts. OJK notification for significant arrangements.</w:t>
            </w:r>
          </w:p>
        </w:tc>
        <w:tc>
          <w:tcPr>
            <w:tcW w:type="auto" w:w="1440"/>
            <w:tcBorders>
              <w:top w:val="single" w:color="DBEAFE" w:sz="1"/>
              <w:left w:val="single" w:color="DBEAFE" w:sz="1"/>
              <w:bottom w:val="single" w:color="DBEAFE" w:sz="1"/>
              <w:right w:val="single" w:color="DBEAFE" w:sz="1"/>
            </w:tcBorders>
            <w:shd w:fill="FFFFFF" w:val="clear"/>
            <w:tcMar>
              <w:top w:type="dxa" w:w="100"/>
              <w:left w:type="dxa" w:w="90"/>
              <w:bottom w:type="dxa" w:w="100"/>
              <w:right w:type="dxa" w:w="90"/>
            </w:tcMar>
          </w:tcPr>
          <w:p>
            <w:r>
              <w:rPr>
                <w:rFonts w:ascii="Georgia" w:cs="Georgia" w:eastAsia="Georgia" w:hAnsi="Georgia"/>
                <w:color w:val="334155"/>
                <w:sz w:val="14"/>
                <w:szCs w:val="14"/>
              </w:rPr>
              <w:t xml:space="preserve">PBI 23 — security requirements in payment system third-party contracts. BI pre-approval for critical arrangements.</w:t>
            </w:r>
          </w:p>
        </w:tc>
        <w:tc>
          <w:tcPr>
            <w:tcW w:type="auto" w:w="12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4"/>
                <w:szCs w:val="14"/>
              </w:rPr>
              <w:t xml:space="preserve">Yes — one supplier agreement template that includes: ISO 27001 security addendum, UU PDP DPA provisions, POJK/PBI security clauses. One supplier register with regulatory classification columns (significant/critical/ordinary per each regulator).</w:t>
            </w:r>
          </w:p>
        </w:tc>
        <w:tc>
          <w:tcPr>
            <w:tcW w:type="auto" w:w="960"/>
            <w:tcBorders>
              <w:top w:val="single" w:color="DBEAFE" w:sz="1"/>
              <w:left w:val="single" w:color="DBEAFE" w:sz="1"/>
              <w:bottom w:val="single" w:color="DBEAFE" w:sz="1"/>
              <w:right w:val="single" w:color="DBEAFE" w:sz="1"/>
            </w:tcBorders>
            <w:shd w:fill="EEF2FF" w:val="clear"/>
            <w:tcMar>
              <w:top w:type="dxa" w:w="100"/>
              <w:left w:type="dxa" w:w="70"/>
              <w:bottom w:type="dxa" w:w="100"/>
              <w:right w:type="dxa" w:w="70"/>
            </w:tcMar>
          </w:tcPr>
          <w:p>
            <w:pPr>
              <w:jc w:val="center"/>
            </w:pPr>
            <w:r>
              <w:rPr>
                <w:rFonts w:ascii="Arial" w:cs="Arial" w:eastAsia="Arial" w:hAnsi="Arial"/>
                <w:b/>
                <w:bCs/>
                <w:color w:val="3730A3"/>
                <w:sz w:val="13"/>
                <w:szCs w:val="13"/>
              </w:rPr>
              <w:t xml:space="preserve">One template serves all four frameworks</w:t>
            </w:r>
          </w:p>
        </w:tc>
      </w:tr>
    </w:tbl>
    <w:p>
      <w:pPr>
        <w:spacing w:after="160"/>
      </w:pPr>
      <w:r>
        <w:t xml:space="preserve"/>
      </w:r>
    </w:p>
    <w:p>
      <w:pPr>
        <w:spacing w:after="160" w:line="320"/>
        <w:jc w:val="both"/>
      </w:pPr>
      <w:r>
        <w:rPr>
          <w:rFonts w:ascii="Georgia" w:cs="Georgia" w:eastAsia="Georgia" w:hAnsi="Georgia"/>
          <w:color w:val="111827"/>
          <w:sz w:val="22"/>
          <w:szCs w:val="22"/>
        </w:rPr>
        <w:t xml:space="preserve">Reading the scorecard: the IS Policy, risk register, incident response procedure, and supplier agreement template each serve all four frameworks (ISO 27001, UU PDP, POJK/OJK, BI/PBI) with a single artifact. The internal audit serves ISO 27001 and POJK 11 with a single audit program. The management review serves ISO 27001 directly and generates the data for board-level POJK reporting. The total efficiency: six artifacts serve four regulatory frameworks — compared to the 15–20 separate documents, procedures, and programs that a fragmented compliance approach would produce.</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Managing Ongoing Compliance: The Post-Certification Maintenance Calendar</w:t>
      </w:r>
    </w:p>
    <w:p>
      <w:pPr>
        <w:spacing w:after="80"/>
      </w:pPr>
      <w:r>
        <w:t xml:space="preserve"/>
      </w:r>
    </w:p>
    <w:p>
      <w:pPr>
        <w:spacing w:after="160" w:line="320"/>
        <w:jc w:val="both"/>
      </w:pPr>
      <w:r>
        <w:rPr>
          <w:rFonts w:ascii="Georgia" w:cs="Georgia" w:eastAsia="Georgia" w:hAnsi="Georgia"/>
          <w:color w:val="111827"/>
          <w:sz w:val="22"/>
          <w:szCs w:val="22"/>
        </w:rPr>
        <w:t xml:space="preserve">After certification, the compliance-ready ISMS requires ongoing maintenance activities that serve both ISO 27001 surveillance requirements and the continuing obligations of the applicable Indonesian regulations. The maintenance calendar must be organized to prevent the most common post-certification failure: operational drift from the standards that produced initial certification.</w:t>
      </w:r>
    </w:p>
    <w:p>
      <w:pPr>
        <w:spacing w:after="80"/>
      </w:pPr>
      <w:r>
        <w:t xml:space="preserve"/>
      </w:r>
    </w:p>
    <w:p>
      <w:pPr>
        <w:pStyle w:val="Heading3"/>
        <w:spacing w:before="280" w:after="120"/>
      </w:pPr>
      <w:r>
        <w:rPr>
          <w:rFonts w:ascii="Arial" w:cs="Arial" w:eastAsia="Arial" w:hAnsi="Arial"/>
          <w:b/>
          <w:bCs/>
          <w:color w:val="2563A8"/>
          <w:sz w:val="24"/>
          <w:szCs w:val="24"/>
        </w:rPr>
        <w:t xml:space="preserve">Monthly activities</w:t>
      </w:r>
    </w:p>
    <w:p>
      <w:pPr>
        <w:spacing w:after="80"/>
      </w:pPr>
      <w:r>
        <w:t xml:space="preserve"/>
      </w:r>
    </w:p>
    <w:p>
      <w:pPr>
        <w:spacing w:after="160" w:line="320"/>
        <w:jc w:val="both"/>
      </w:pPr>
      <w:r>
        <w:rPr>
          <w:rFonts w:ascii="Georgia" w:cs="Georgia" w:eastAsia="Georgia" w:hAnsi="Georgia"/>
          <w:color w:val="111827"/>
          <w:sz w:val="22"/>
          <w:szCs w:val="22"/>
        </w:rPr>
        <w:t xml:space="preserve">Review the ISMS KPI dashboard for all applicable regulations — one dashboard, multiple regulatory lenses: ISO 27001 ISMS KPIs (phishing click rate, CAR closure rate, training completion), POJK 21 IT risk metrics (incident frequency, vulnerability count, availability SLA achievement), and UU PDP privacy metrics (data subject rights requests received and responded within timeline, DPA coverage percentage). Monthly review by the ISMS Manager; quarterly escalation to management review.</w:t>
      </w:r>
    </w:p>
    <w:p>
      <w:pPr>
        <w:spacing w:after="80"/>
      </w:pPr>
      <w:r>
        <w:t xml:space="preserve"/>
      </w:r>
    </w:p>
    <w:p>
      <w:pPr>
        <w:pStyle w:val="Heading3"/>
        <w:spacing w:before="280" w:after="120"/>
      </w:pPr>
      <w:r>
        <w:rPr>
          <w:rFonts w:ascii="Arial" w:cs="Arial" w:eastAsia="Arial" w:hAnsi="Arial"/>
          <w:b/>
          <w:bCs/>
          <w:color w:val="2563A8"/>
          <w:sz w:val="24"/>
          <w:szCs w:val="24"/>
        </w:rPr>
        <w:t xml:space="preserve">Quarterly activities</w:t>
      </w:r>
    </w:p>
    <w:p>
      <w:pPr>
        <w:spacing w:after="80"/>
      </w:pPr>
      <w:r>
        <w:t xml:space="preserve"/>
      </w:r>
    </w:p>
    <w:p>
      <w:pPr>
        <w:spacing w:after="160" w:line="320"/>
        <w:jc w:val="both"/>
      </w:pPr>
      <w:r>
        <w:rPr>
          <w:rFonts w:ascii="Georgia" w:cs="Georgia" w:eastAsia="Georgia" w:hAnsi="Georgia"/>
          <w:color w:val="111827"/>
          <w:sz w:val="22"/>
          <w:szCs w:val="22"/>
        </w:rPr>
        <w:t xml:space="preserve">Quarterly access review (serves ISO 27001 8.3 and POJK 11 Pasal 29). Quarterly vulnerability scan with remediation tracking (serves ISO 27001 8.8 and POJK 11 Pasal 32). Quarterly phishing simulation (serves ISO 27001 6.3). Quarterly board IT risk dashboard presentation (serves POJK 11 and POJK 21 board reporting requirements). Quarterly review of incident register for regulatory notification compliance — were all threshold incidents notified to the correct regulators within required timelines?</w:t>
      </w:r>
    </w:p>
    <w:p>
      <w:pPr>
        <w:spacing w:after="80"/>
      </w:pPr>
      <w:r>
        <w:t xml:space="preserve"/>
      </w:r>
    </w:p>
    <w:p>
      <w:pPr>
        <w:pStyle w:val="Heading3"/>
        <w:spacing w:before="280" w:after="120"/>
      </w:pPr>
      <w:r>
        <w:rPr>
          <w:rFonts w:ascii="Arial" w:cs="Arial" w:eastAsia="Arial" w:hAnsi="Arial"/>
          <w:b/>
          <w:bCs/>
          <w:color w:val="2563A8"/>
          <w:sz w:val="24"/>
          <w:szCs w:val="24"/>
        </w:rPr>
        <w:t xml:space="preserve">Annual activities</w:t>
      </w:r>
    </w:p>
    <w:p>
      <w:pPr>
        <w:spacing w:after="80"/>
      </w:pPr>
      <w:r>
        <w:t xml:space="preserve"/>
      </w:r>
    </w:p>
    <w:p>
      <w:pPr>
        <w:spacing w:after="160" w:line="320"/>
        <w:jc w:val="both"/>
      </w:pPr>
      <w:r>
        <w:rPr>
          <w:rFonts w:ascii="Georgia" w:cs="Georgia" w:eastAsia="Georgia" w:hAnsi="Georgia"/>
          <w:color w:val="111827"/>
          <w:sz w:val="22"/>
          <w:szCs w:val="22"/>
        </w:rPr>
        <w:t xml:space="preserve">Annual risk assessment (serves ISO 27001 Clause 6.1.2, POJK 21 IT risk framework). Annual internal audit with multi-framework scope (serves ISO 27001 Clause 9.2, POJK 11 IT audit requirement). Annual management review with all regulatory compliance inputs (serves ISO 27001 Clause 9.3). Annual security awareness training renewal for all staff. Annual penetration testing of critical systems (serves ISO 27001 8.29, POJK 11 Pasal 33). Annual BI security assessment submission (for PSPs). Annual update of RoPA, DPA register, and cross-border transfer mechanism documentation (serves UU PDP accountability).</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compliance-ready ISMS module: Bitlion's GRC platform is designed for the Indonesian multi-regulatory context — it maintains ISO 27001, UU PDP, POJK, and BI compliance programs in an integrated architecture where evidence serves multiple frameworks simultaneously. The regulatory mapping engine automatically links Annex A controls to applicable Indonesian regulation articles, updating when regulations change. The multi-regulator incident notification tracker manages all notification windows (BI 2-hour, OJK 72-hour, KOMINFO 14-day, BSSN 24-hour) in parallel from a single incident record. The compliance dashboard provides separate regulatory views of the same underlying ISMS data — board-level POJK reporting, KOMINFO accountability evidence, and ISO 27001 management review inputs all generated from one system.</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Strategic Value of a Compliance-Ready ISMS</w:t>
      </w:r>
    </w:p>
    <w:p>
      <w:pPr>
        <w:spacing w:after="80"/>
      </w:pPr>
      <w:r>
        <w:t xml:space="preserve"/>
      </w:r>
    </w:p>
    <w:p>
      <w:pPr>
        <w:spacing w:after="160" w:line="320"/>
        <w:jc w:val="both"/>
      </w:pPr>
      <w:r>
        <w:rPr>
          <w:rFonts w:ascii="Georgia" w:cs="Georgia" w:eastAsia="Georgia" w:hAnsi="Georgia"/>
          <w:color w:val="111827"/>
          <w:sz w:val="22"/>
          <w:szCs w:val="22"/>
        </w:rPr>
        <w:t xml:space="preserve">The Indonesian organizations that will be most resilient over the next decade of regulatory development are those that have built compliance capability into their organizational DNA — not through compliance departments that manage regulatory programs, but through operational processes, governance structures, and cultural norms that naturally produce the evidence and behavior that regulators expect.</w:t>
      </w:r>
    </w:p>
    <w:p>
      <w:pPr>
        <w:spacing w:after="80"/>
      </w:pPr>
      <w:r>
        <w:t xml:space="preserve"/>
      </w:r>
    </w:p>
    <w:p>
      <w:pPr>
        <w:spacing w:after="160" w:line="320"/>
        <w:jc w:val="both"/>
      </w:pPr>
      <w:r>
        <w:rPr>
          <w:rFonts w:ascii="Georgia" w:cs="Georgia" w:eastAsia="Georgia" w:hAnsi="Georgia"/>
          <w:color w:val="111827"/>
          <w:sz w:val="22"/>
          <w:szCs w:val="22"/>
        </w:rPr>
        <w:t xml:space="preserve">An ISO 27001 certificate obtained through a compliance exercise will require increasing effort to maintain as regulations evolve and regulatory scrutiny intensifies. An ISO 27001 ISMS built as a genuine management tool — where the risk register is used to make security investment decisions, where management reviews produce genuine governance outputs, where incident response is practiced and refined rather than documented and forgotten — will naturally adapt to new regulatory requirements because it is built on the same substantive foundations that all information security regulations share.</w:t>
      </w:r>
    </w:p>
    <w:p>
      <w:pPr>
        <w:spacing w:after="80"/>
      </w:pPr>
      <w:r>
        <w:t xml:space="preserve"/>
      </w:r>
    </w:p>
    <w:p>
      <w:pPr>
        <w:spacing w:after="160" w:line="320"/>
        <w:jc w:val="both"/>
      </w:pPr>
      <w:r>
        <w:rPr>
          <w:rFonts w:ascii="Georgia" w:cs="Georgia" w:eastAsia="Georgia" w:hAnsi="Georgia"/>
          <w:color w:val="111827"/>
          <w:sz w:val="22"/>
          <w:szCs w:val="22"/>
        </w:rPr>
        <w:t xml:space="preserve">Indonesia's regulatory landscape for information security is still maturing. BSSN is expanding its critical infrastructure program. KOMINFO is actively enforcing UU PDP. OJK is intensifying digital banking supervision. BI is developing more sophisticated cybersecurity requirements for payment systems. Organizations that have built compliance capability into their governance foundations will navigate this evolution efficiently. Organizations that have built compliance as a documentary exercise will face mounting overhead with each regulatory development.</w:t>
      </w:r>
    </w:p>
    <w:p>
      <w:pPr>
        <w:spacing w:after="80"/>
      </w:pPr>
      <w:r>
        <w:t xml:space="preserve"/>
      </w:r>
    </w:p>
    <w:p>
      <w:pPr>
        <w:spacing w:after="160" w:line="320"/>
        <w:jc w:val="both"/>
      </w:pPr>
      <w:r>
        <w:rPr>
          <w:rFonts w:ascii="Georgia" w:cs="Georgia" w:eastAsia="Georgia" w:hAnsi="Georgia"/>
          <w:color w:val="111827"/>
          <w:sz w:val="22"/>
          <w:szCs w:val="22"/>
        </w:rPr>
        <w:t xml:space="preserve">The compliance-ready ISMS is not a compliance program. It is a management system — one that produces security outcomes, generates compliance evidence as a byproduct of operation, and serves multiple regulatory masters from a single coherent governance structure. That is the strategic investment that the Indonesian regulatory environment now requires.</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6.7 — ISO 27001 and Government Procurement Requirements: How ISO 27001 certification strengthens eligibility and credibility when bidding for government and public sector contracts in Indonesia.</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2026-03-28T14:10:30.699Z</dcterms:created>
  <dcterms:modified xsi:type="dcterms:W3CDTF">2026-03-28T14:10:30.700Z</dcterms:modified>
</cp:coreProperties>
</file>

<file path=docProps/custom.xml><?xml version="1.0" encoding="utf-8"?>
<Properties xmlns="http://schemas.openxmlformats.org/officeDocument/2006/custom-properties" xmlns:vt="http://schemas.openxmlformats.org/officeDocument/2006/docPropsVTypes"/>
</file>